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45B" w:rsidRPr="00D7289C" w:rsidRDefault="00654EA1" w:rsidP="001E6EEB">
      <w:pPr>
        <w:rPr>
          <w:rFonts w:ascii="Arial" w:hAnsi="Arial" w:cs="Arial"/>
          <w:b/>
          <w:sz w:val="24"/>
          <w:szCs w:val="24"/>
        </w:rPr>
      </w:pPr>
      <w:r>
        <w:rPr>
          <w:rFonts w:ascii="Arial" w:hAnsi="Arial" w:cs="Arial"/>
          <w:noProof/>
          <w:color w:val="003366"/>
          <w:sz w:val="44"/>
          <w:szCs w:val="44"/>
        </w:rPr>
        <w:drawing>
          <wp:anchor distT="0" distB="0" distL="114300" distR="114300" simplePos="0" relativeHeight="251657728" behindDoc="1" locked="0" layoutInCell="1" allowOverlap="1">
            <wp:simplePos x="0" y="0"/>
            <wp:positionH relativeFrom="column">
              <wp:posOffset>146685</wp:posOffset>
            </wp:positionH>
            <wp:positionV relativeFrom="paragraph">
              <wp:posOffset>-92710</wp:posOffset>
            </wp:positionV>
            <wp:extent cx="788035" cy="781050"/>
            <wp:effectExtent l="19050" t="0" r="0" b="0"/>
            <wp:wrapTight wrapText="bothSides">
              <wp:wrapPolygon edited="0">
                <wp:start x="-522" y="0"/>
                <wp:lineTo x="-522" y="21073"/>
                <wp:lineTo x="21409" y="21073"/>
                <wp:lineTo x="21409" y="0"/>
                <wp:lineTo x="-522" y="0"/>
              </wp:wrapPolygon>
            </wp:wrapTight>
            <wp:docPr id="32" name="Resim 32" descr="mm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mologo"/>
                    <pic:cNvPicPr>
                      <a:picLocks noChangeAspect="1" noChangeArrowheads="1"/>
                    </pic:cNvPicPr>
                  </pic:nvPicPr>
                  <pic:blipFill>
                    <a:blip r:embed="rId7" cstate="print"/>
                    <a:srcRect/>
                    <a:stretch>
                      <a:fillRect/>
                    </a:stretch>
                  </pic:blipFill>
                  <pic:spPr bwMode="auto">
                    <a:xfrm>
                      <a:off x="0" y="0"/>
                      <a:ext cx="788035" cy="781050"/>
                    </a:xfrm>
                    <a:prstGeom prst="rect">
                      <a:avLst/>
                    </a:prstGeom>
                    <a:noFill/>
                    <a:ln w="9525">
                      <a:noFill/>
                      <a:miter lim="800000"/>
                      <a:headEnd/>
                      <a:tailEnd/>
                    </a:ln>
                  </pic:spPr>
                </pic:pic>
              </a:graphicData>
            </a:graphic>
          </wp:anchor>
        </w:drawing>
      </w:r>
      <w:r w:rsidR="00B86C20">
        <w:rPr>
          <w:rFonts w:ascii="Arial" w:hAnsi="Arial" w:cs="Arial"/>
          <w:b/>
          <w:color w:val="003366"/>
          <w:sz w:val="44"/>
          <w:szCs w:val="44"/>
        </w:rPr>
        <w:t>t</w:t>
      </w:r>
      <w:r w:rsidR="004F745B" w:rsidRPr="00D86960">
        <w:rPr>
          <w:rFonts w:ascii="Arial" w:hAnsi="Arial" w:cs="Arial"/>
          <w:b/>
          <w:color w:val="003366"/>
          <w:sz w:val="44"/>
          <w:szCs w:val="44"/>
        </w:rPr>
        <w:t>mmob</w:t>
      </w:r>
      <w:r w:rsidR="00B86C20">
        <w:rPr>
          <w:rFonts w:ascii="Arial" w:hAnsi="Arial" w:cs="Arial"/>
          <w:b/>
          <w:color w:val="003366"/>
          <w:sz w:val="44"/>
          <w:szCs w:val="44"/>
        </w:rPr>
        <w:tab/>
      </w:r>
      <w:r w:rsidR="00B86C20">
        <w:rPr>
          <w:rFonts w:ascii="Arial" w:hAnsi="Arial" w:cs="Arial"/>
          <w:b/>
          <w:color w:val="003366"/>
          <w:sz w:val="44"/>
          <w:szCs w:val="44"/>
        </w:rPr>
        <w:tab/>
      </w:r>
      <w:r w:rsidR="00B86C20">
        <w:rPr>
          <w:rFonts w:ascii="Arial" w:hAnsi="Arial" w:cs="Arial"/>
          <w:b/>
          <w:color w:val="003366"/>
          <w:sz w:val="44"/>
          <w:szCs w:val="44"/>
        </w:rPr>
        <w:tab/>
      </w:r>
      <w:r w:rsidR="00B86C20" w:rsidRPr="00D7289C">
        <w:rPr>
          <w:rFonts w:ascii="Arial" w:hAnsi="Arial" w:cs="Arial"/>
          <w:sz w:val="28"/>
          <w:szCs w:val="28"/>
        </w:rPr>
        <w:t>BASIN BÜLTENİ</w:t>
      </w:r>
      <w:r w:rsidR="00B86C20">
        <w:rPr>
          <w:rFonts w:ascii="Arial" w:hAnsi="Arial" w:cs="Arial"/>
          <w:sz w:val="28"/>
          <w:szCs w:val="28"/>
        </w:rPr>
        <w:tab/>
        <w:t xml:space="preserve">     </w:t>
      </w:r>
      <w:r w:rsidR="00661150">
        <w:rPr>
          <w:rFonts w:ascii="Arial" w:hAnsi="Arial" w:cs="Arial"/>
          <w:sz w:val="24"/>
          <w:szCs w:val="24"/>
        </w:rPr>
        <w:t>02</w:t>
      </w:r>
      <w:r w:rsidR="00B86C20">
        <w:rPr>
          <w:rFonts w:ascii="Arial" w:hAnsi="Arial" w:cs="Arial"/>
          <w:sz w:val="24"/>
          <w:szCs w:val="24"/>
        </w:rPr>
        <w:t>.0</w:t>
      </w:r>
      <w:r w:rsidR="00661150">
        <w:rPr>
          <w:rFonts w:ascii="Arial" w:hAnsi="Arial" w:cs="Arial"/>
          <w:sz w:val="24"/>
          <w:szCs w:val="24"/>
        </w:rPr>
        <w:t>4</w:t>
      </w:r>
      <w:r w:rsidR="00B86C20">
        <w:rPr>
          <w:rFonts w:ascii="Arial" w:hAnsi="Arial" w:cs="Arial"/>
          <w:sz w:val="24"/>
          <w:szCs w:val="24"/>
        </w:rPr>
        <w:t>.20</w:t>
      </w:r>
      <w:r w:rsidR="00E361B1">
        <w:rPr>
          <w:rFonts w:ascii="Arial" w:hAnsi="Arial" w:cs="Arial"/>
          <w:sz w:val="24"/>
          <w:szCs w:val="24"/>
        </w:rPr>
        <w:t>2</w:t>
      </w:r>
      <w:r w:rsidR="00CE3D64">
        <w:rPr>
          <w:rFonts w:ascii="Arial" w:hAnsi="Arial" w:cs="Arial"/>
          <w:sz w:val="24"/>
          <w:szCs w:val="24"/>
        </w:rPr>
        <w:t>2</w:t>
      </w:r>
    </w:p>
    <w:p w:rsidR="004F745B" w:rsidRPr="00D86960" w:rsidRDefault="004F745B" w:rsidP="00CE3D64">
      <w:pPr>
        <w:rPr>
          <w:rFonts w:ascii="Arial" w:hAnsi="Arial" w:cs="Arial"/>
          <w:b/>
          <w:color w:val="003366"/>
          <w:sz w:val="44"/>
          <w:szCs w:val="44"/>
        </w:rPr>
      </w:pPr>
      <w:r w:rsidRPr="00D86960">
        <w:rPr>
          <w:rFonts w:ascii="Arial" w:hAnsi="Arial" w:cs="Arial"/>
          <w:b/>
          <w:color w:val="003366"/>
          <w:sz w:val="44"/>
          <w:szCs w:val="44"/>
        </w:rPr>
        <w:t>makina mühendisleri odası</w:t>
      </w:r>
    </w:p>
    <w:p w:rsidR="007E3CF6" w:rsidRPr="002A36E6" w:rsidRDefault="007E3CF6" w:rsidP="00215036">
      <w:pPr>
        <w:pStyle w:val="antet1"/>
        <w:tabs>
          <w:tab w:val="clear" w:pos="5374"/>
          <w:tab w:val="clear" w:pos="11327"/>
          <w:tab w:val="clear" w:pos="11837"/>
          <w:tab w:val="clear" w:pos="12234"/>
          <w:tab w:val="clear" w:pos="12688"/>
          <w:tab w:val="clear" w:pos="13140"/>
          <w:tab w:val="left" w:pos="1985"/>
        </w:tabs>
        <w:rPr>
          <w:rFonts w:ascii="Arial" w:hAnsi="Arial" w:cs="Arial"/>
          <w:b w:val="0"/>
          <w:noProof/>
          <w:spacing w:val="-2"/>
          <w:sz w:val="16"/>
          <w:szCs w:val="18"/>
          <w:lang w:val="tr-TR"/>
        </w:rPr>
      </w:pPr>
      <w:r>
        <w:rPr>
          <w:rFonts w:ascii="Arial" w:hAnsi="Arial" w:cs="Arial"/>
          <w:b w:val="0"/>
          <w:noProof/>
          <w:spacing w:val="-2"/>
          <w:sz w:val="16"/>
          <w:szCs w:val="18"/>
          <w:lang w:val="tr-TR"/>
        </w:rPr>
        <w:t>Meşrutiyet Cad.</w:t>
      </w:r>
      <w:r w:rsidRPr="00FF407C">
        <w:rPr>
          <w:rFonts w:ascii="Arial" w:hAnsi="Arial" w:cs="Arial"/>
          <w:b w:val="0"/>
          <w:noProof/>
          <w:spacing w:val="-2"/>
          <w:sz w:val="16"/>
          <w:szCs w:val="18"/>
          <w:lang w:val="tr-TR"/>
        </w:rPr>
        <w:t xml:space="preserve"> </w:t>
      </w:r>
      <w:r w:rsidRPr="002A36E6">
        <w:rPr>
          <w:rFonts w:ascii="Arial" w:hAnsi="Arial" w:cs="Arial"/>
          <w:b w:val="0"/>
          <w:noProof/>
          <w:spacing w:val="-2"/>
          <w:sz w:val="16"/>
          <w:szCs w:val="18"/>
          <w:lang w:val="tr-TR"/>
        </w:rPr>
        <w:t xml:space="preserve">No: 19/6 Kızılay, 06650 ANKARA Tel: </w:t>
      </w:r>
      <w:r w:rsidR="00FE76C0">
        <w:rPr>
          <w:rFonts w:ascii="Arial" w:hAnsi="Arial" w:cs="Arial"/>
          <w:b w:val="0"/>
          <w:noProof/>
          <w:spacing w:val="-2"/>
          <w:sz w:val="16"/>
          <w:szCs w:val="18"/>
        </w:rPr>
        <w:t>0.850 495 06 66 - Faks</w:t>
      </w:r>
      <w:r w:rsidR="00FE76C0" w:rsidRPr="00FF407C">
        <w:rPr>
          <w:rFonts w:ascii="Arial" w:hAnsi="Arial" w:cs="Arial"/>
          <w:b w:val="0"/>
          <w:noProof/>
          <w:spacing w:val="-2"/>
          <w:sz w:val="16"/>
          <w:szCs w:val="18"/>
        </w:rPr>
        <w:t xml:space="preserve">: (312) </w:t>
      </w:r>
      <w:r w:rsidR="00FE76C0">
        <w:rPr>
          <w:rFonts w:ascii="Arial" w:hAnsi="Arial" w:cs="Arial"/>
          <w:b w:val="0"/>
          <w:noProof/>
          <w:spacing w:val="-2"/>
          <w:sz w:val="16"/>
          <w:szCs w:val="18"/>
        </w:rPr>
        <w:t>417 86 21</w:t>
      </w:r>
    </w:p>
    <w:p w:rsidR="007E3CF6" w:rsidRPr="002A36E6" w:rsidRDefault="007E3CF6" w:rsidP="007E3CF6">
      <w:pPr>
        <w:pStyle w:val="antet1"/>
        <w:tabs>
          <w:tab w:val="clear" w:pos="5374"/>
          <w:tab w:val="clear" w:pos="11327"/>
          <w:tab w:val="clear" w:pos="11837"/>
          <w:tab w:val="clear" w:pos="12234"/>
          <w:tab w:val="clear" w:pos="12688"/>
          <w:tab w:val="clear" w:pos="13140"/>
          <w:tab w:val="left" w:pos="2552"/>
        </w:tabs>
        <w:jc w:val="center"/>
        <w:rPr>
          <w:rFonts w:ascii="Arial" w:hAnsi="Arial" w:cs="Arial"/>
          <w:b w:val="0"/>
          <w:noProof/>
          <w:color w:val="003366"/>
          <w:spacing w:val="-2"/>
          <w:sz w:val="16"/>
          <w:szCs w:val="18"/>
          <w:lang w:val="it-IT"/>
        </w:rPr>
      </w:pPr>
      <w:r w:rsidRPr="002A36E6">
        <w:rPr>
          <w:rFonts w:ascii="Arial" w:hAnsi="Arial" w:cs="Arial"/>
          <w:b w:val="0"/>
          <w:noProof/>
          <w:color w:val="003366"/>
          <w:spacing w:val="-2"/>
          <w:sz w:val="16"/>
          <w:szCs w:val="18"/>
          <w:lang w:val="tr-TR"/>
        </w:rPr>
        <w:t xml:space="preserve">          </w:t>
      </w:r>
      <w:hyperlink r:id="rId8" w:history="1">
        <w:r w:rsidRPr="002A36E6">
          <w:rPr>
            <w:rStyle w:val="Kpr"/>
            <w:rFonts w:ascii="Arial" w:hAnsi="Arial" w:cs="Arial"/>
            <w:b w:val="0"/>
            <w:noProof/>
            <w:color w:val="003366"/>
            <w:spacing w:val="-2"/>
            <w:sz w:val="16"/>
            <w:lang w:val="it-IT"/>
          </w:rPr>
          <w:t>http://www.mmo.org.tr</w:t>
        </w:r>
      </w:hyperlink>
      <w:r w:rsidRPr="002A36E6">
        <w:rPr>
          <w:rFonts w:ascii="Arial" w:hAnsi="Arial" w:cs="Arial"/>
          <w:b w:val="0"/>
          <w:noProof/>
          <w:color w:val="003366"/>
          <w:spacing w:val="-2"/>
          <w:sz w:val="16"/>
          <w:szCs w:val="18"/>
          <w:lang w:val="it-IT"/>
        </w:rPr>
        <w:tab/>
        <w:t xml:space="preserve">E- Posta: </w:t>
      </w:r>
      <w:hyperlink r:id="rId9" w:history="1">
        <w:r w:rsidRPr="002A36E6">
          <w:rPr>
            <w:rStyle w:val="Kpr"/>
            <w:rFonts w:ascii="Arial" w:hAnsi="Arial" w:cs="Arial"/>
            <w:b w:val="0"/>
            <w:noProof/>
            <w:color w:val="003366"/>
            <w:spacing w:val="-2"/>
            <w:sz w:val="16"/>
            <w:lang w:val="it-IT"/>
          </w:rPr>
          <w:t>mmo@mmo.org.tr</w:t>
        </w:r>
      </w:hyperlink>
      <w:r w:rsidRPr="002A36E6">
        <w:rPr>
          <w:rFonts w:ascii="Arial" w:hAnsi="Arial" w:cs="Arial"/>
          <w:b w:val="0"/>
          <w:noProof/>
          <w:color w:val="003366"/>
          <w:spacing w:val="-2"/>
          <w:sz w:val="16"/>
          <w:szCs w:val="18"/>
          <w:lang w:val="it-IT"/>
        </w:rPr>
        <w:tab/>
      </w:r>
      <w:hyperlink r:id="rId10" w:history="1">
        <w:r w:rsidRPr="002A36E6">
          <w:rPr>
            <w:rStyle w:val="Kpr"/>
            <w:rFonts w:ascii="Arial" w:hAnsi="Arial" w:cs="Arial"/>
            <w:b w:val="0"/>
            <w:noProof/>
            <w:spacing w:val="-2"/>
            <w:sz w:val="16"/>
            <w:lang w:val="it-IT"/>
          </w:rPr>
          <w:t>basin@mmo.org.tr</w:t>
        </w:r>
      </w:hyperlink>
      <w:r w:rsidRPr="002A36E6">
        <w:rPr>
          <w:rFonts w:ascii="Arial" w:hAnsi="Arial" w:cs="Arial"/>
          <w:b w:val="0"/>
          <w:noProof/>
          <w:color w:val="003366"/>
          <w:spacing w:val="-2"/>
          <w:sz w:val="16"/>
          <w:lang w:val="it-IT"/>
        </w:rPr>
        <w:tab/>
      </w:r>
    </w:p>
    <w:p w:rsidR="00BB7ED5" w:rsidRPr="00BB7ED5" w:rsidRDefault="00BB7ED5" w:rsidP="00BB7ED5">
      <w:pPr>
        <w:spacing w:before="120" w:line="240" w:lineRule="atLeast"/>
        <w:jc w:val="center"/>
        <w:rPr>
          <w:b/>
          <w:sz w:val="28"/>
          <w:szCs w:val="28"/>
        </w:rPr>
      </w:pPr>
      <w:r>
        <w:rPr>
          <w:b/>
          <w:sz w:val="28"/>
          <w:szCs w:val="28"/>
        </w:rPr>
        <w:t>Doğalgaz v</w:t>
      </w:r>
      <w:r w:rsidRPr="00BB7ED5">
        <w:rPr>
          <w:b/>
          <w:sz w:val="28"/>
          <w:szCs w:val="28"/>
        </w:rPr>
        <w:t xml:space="preserve">e Elektrik Zamları, İktidarın Yanlış Uygulamalarıyla </w:t>
      </w:r>
      <w:r>
        <w:rPr>
          <w:b/>
          <w:sz w:val="28"/>
          <w:szCs w:val="28"/>
        </w:rPr>
        <w:t>Sürekli Olarak Artan Enflasyon v</w:t>
      </w:r>
      <w:r w:rsidRPr="00BB7ED5">
        <w:rPr>
          <w:b/>
          <w:sz w:val="28"/>
          <w:szCs w:val="28"/>
        </w:rPr>
        <w:t>e Hayat Pahalılığının Rekor Düzeylere Çıkmasına Yol Açacaktır</w:t>
      </w:r>
    </w:p>
    <w:p w:rsidR="00BB7ED5" w:rsidRPr="008E27C1" w:rsidRDefault="00BB7ED5" w:rsidP="00FF4492">
      <w:pPr>
        <w:spacing w:before="60" w:line="240" w:lineRule="atLeast"/>
        <w:jc w:val="both"/>
        <w:rPr>
          <w:sz w:val="24"/>
          <w:szCs w:val="24"/>
        </w:rPr>
      </w:pPr>
      <w:r w:rsidRPr="008E27C1">
        <w:rPr>
          <w:sz w:val="24"/>
          <w:szCs w:val="24"/>
        </w:rPr>
        <w:t xml:space="preserve">1 Nisan 2022’de doğalgaz fiyatları yüzde 35-50 oranında, elektrik fiyatları da sanayi kuruluşları için yüzde 20-26,7 oranında artmıştır. 2022’nin </w:t>
      </w:r>
      <w:r w:rsidR="00FF4492" w:rsidRPr="008E27C1">
        <w:rPr>
          <w:sz w:val="24"/>
          <w:szCs w:val="24"/>
        </w:rPr>
        <w:t>ilk günü</w:t>
      </w:r>
      <w:r w:rsidRPr="008E27C1">
        <w:rPr>
          <w:sz w:val="24"/>
          <w:szCs w:val="24"/>
        </w:rPr>
        <w:t xml:space="preserve"> yapılan fahiş oranlı zamlarla, yalnızca bu yılın ilk üç ayı içinde doğalgaz fiyatları yüzde 68-125, elektrikte ise yüzde 372-184 oranlarında artmıştır. Bilindiği üzere tüm ticari ve sınai işletmeler, faaliyetlerinde önemli bir maliyet kalemi olan doğalgaz ve elektrik faturalarındaki yükselişi sürekli olarak fiyatlarına yansıtmaktadırlar. Bu durum yeni zamlarla sürecek ve enflasyonun rekor düzeyde artışına yol açacaktır. Bu durumda TÜİK tarafından 4 Nisan’da açıklanacak enflasyon verilerine göre fiyat artışları yüzde 60’ları geçebilecektir; gerçekte ise tüketici fiyat artışları “resmi” açıklamaların üzerindedir ve dünyadaki en yüksek artış oranları söz konusudur.</w:t>
      </w:r>
      <w:r>
        <w:rPr>
          <w:sz w:val="24"/>
          <w:szCs w:val="24"/>
        </w:rPr>
        <w:t xml:space="preserve"> </w:t>
      </w:r>
    </w:p>
    <w:p w:rsidR="00BB7ED5" w:rsidRPr="008E27C1" w:rsidRDefault="00BB7ED5" w:rsidP="00FF4492">
      <w:pPr>
        <w:spacing w:before="60" w:line="240" w:lineRule="atLeast"/>
        <w:jc w:val="both"/>
        <w:rPr>
          <w:sz w:val="24"/>
          <w:szCs w:val="24"/>
        </w:rPr>
      </w:pPr>
      <w:r w:rsidRPr="008E27C1">
        <w:rPr>
          <w:sz w:val="24"/>
          <w:szCs w:val="24"/>
        </w:rPr>
        <w:t>İzledikleri çağ dışı, bilim dışı, akıl dışı, politikalarla ülkeyi yangın yerine çeviren yeteneksiz, bilgisiz siyasi kadrolar, sorunların daha da artmasına neden olmaktadır.</w:t>
      </w:r>
    </w:p>
    <w:p w:rsidR="00BB7ED5" w:rsidRPr="008E27C1" w:rsidRDefault="00BB7ED5" w:rsidP="00FF4492">
      <w:pPr>
        <w:spacing w:before="60" w:line="240" w:lineRule="atLeast"/>
        <w:jc w:val="both"/>
        <w:rPr>
          <w:sz w:val="24"/>
          <w:szCs w:val="24"/>
        </w:rPr>
      </w:pPr>
      <w:r w:rsidRPr="008E27C1">
        <w:rPr>
          <w:sz w:val="24"/>
          <w:szCs w:val="24"/>
        </w:rPr>
        <w:t>Defalarca belirttiğimiz üzere fahiş enerji zamları ve bunları izleyen diğer zamlar, izlenen dışa bağımlı politikalar ile serbestleştirme-özelleştirmelerin bir sonucu olarak, dar gelirli çoğunluk başta olmak üzere bütün halkımızın hayatını ısınmadan geçim koşullarına kadar görülmemiş düzeylerde zorlamaktadır. Gerek asgari ücret, gerekse onun nispi olarak üzerindeki ücretler bu koşu</w:t>
      </w:r>
      <w:r>
        <w:rPr>
          <w:sz w:val="24"/>
          <w:szCs w:val="24"/>
        </w:rPr>
        <w:t>llarda erimekte, hayat pahalılı</w:t>
      </w:r>
      <w:r w:rsidRPr="008E27C1">
        <w:rPr>
          <w:sz w:val="24"/>
          <w:szCs w:val="24"/>
        </w:rPr>
        <w:t>ğının çok gerisinde kalmaktadır.</w:t>
      </w:r>
    </w:p>
    <w:p w:rsidR="00BB7ED5" w:rsidRPr="008E27C1" w:rsidRDefault="00BB7ED5" w:rsidP="00FF4492">
      <w:pPr>
        <w:spacing w:before="60" w:line="240" w:lineRule="atLeast"/>
        <w:jc w:val="both"/>
        <w:rPr>
          <w:sz w:val="24"/>
          <w:szCs w:val="24"/>
        </w:rPr>
      </w:pPr>
      <w:r w:rsidRPr="008E27C1">
        <w:rPr>
          <w:sz w:val="24"/>
          <w:szCs w:val="24"/>
        </w:rPr>
        <w:t xml:space="preserve">Söz konusu gerçeklerden hareketle yapılması gereken acil düzenlemeler şunlardır: </w:t>
      </w:r>
    </w:p>
    <w:p w:rsidR="00BB7ED5" w:rsidRPr="008E27C1" w:rsidRDefault="00BB7ED5" w:rsidP="00FF4492">
      <w:pPr>
        <w:tabs>
          <w:tab w:val="num" w:pos="720"/>
        </w:tabs>
        <w:spacing w:before="60" w:line="240" w:lineRule="atLeast"/>
        <w:jc w:val="both"/>
        <w:rPr>
          <w:sz w:val="24"/>
          <w:szCs w:val="24"/>
        </w:rPr>
      </w:pPr>
      <w:r w:rsidRPr="008E27C1">
        <w:rPr>
          <w:sz w:val="24"/>
          <w:szCs w:val="24"/>
        </w:rPr>
        <w:t xml:space="preserve">1) Çok </w:t>
      </w:r>
      <w:r w:rsidR="00381CA3">
        <w:rPr>
          <w:sz w:val="24"/>
          <w:szCs w:val="24"/>
        </w:rPr>
        <w:t xml:space="preserve">büyük hızla </w:t>
      </w:r>
      <w:r w:rsidRPr="008E27C1">
        <w:rPr>
          <w:sz w:val="24"/>
          <w:szCs w:val="24"/>
        </w:rPr>
        <w:t>yüksek oranlarda artan enflasyon göz önüne alınarak ücretle</w:t>
      </w:r>
      <w:r w:rsidR="00381CA3">
        <w:rPr>
          <w:sz w:val="24"/>
          <w:szCs w:val="24"/>
        </w:rPr>
        <w:t>r ve maaşlar her üç ayda bir ar</w:t>
      </w:r>
      <w:r w:rsidRPr="008E27C1">
        <w:rPr>
          <w:sz w:val="24"/>
          <w:szCs w:val="24"/>
        </w:rPr>
        <w:t xml:space="preserve">tırılmalıdır. </w:t>
      </w:r>
    </w:p>
    <w:p w:rsidR="00BB7ED5" w:rsidRPr="008E27C1" w:rsidRDefault="00BB7ED5" w:rsidP="00FF4492">
      <w:pPr>
        <w:tabs>
          <w:tab w:val="num" w:pos="720"/>
        </w:tabs>
        <w:spacing w:before="60" w:line="240" w:lineRule="atLeast"/>
        <w:jc w:val="both"/>
        <w:rPr>
          <w:sz w:val="24"/>
          <w:szCs w:val="24"/>
        </w:rPr>
      </w:pPr>
      <w:r w:rsidRPr="008E27C1">
        <w:rPr>
          <w:sz w:val="24"/>
          <w:szCs w:val="24"/>
        </w:rPr>
        <w:t>2) Enerji sektöründe ve tüm kamusal hizmetlerde özelleştirmelere son verilmelidir.</w:t>
      </w:r>
    </w:p>
    <w:p w:rsidR="00BB7ED5" w:rsidRPr="008E27C1" w:rsidRDefault="00BB7ED5" w:rsidP="00FF4492">
      <w:pPr>
        <w:tabs>
          <w:tab w:val="num" w:pos="720"/>
        </w:tabs>
        <w:spacing w:before="60" w:line="240" w:lineRule="atLeast"/>
        <w:jc w:val="both"/>
        <w:rPr>
          <w:sz w:val="24"/>
          <w:szCs w:val="24"/>
        </w:rPr>
      </w:pPr>
      <w:r w:rsidRPr="008E27C1">
        <w:rPr>
          <w:sz w:val="24"/>
          <w:szCs w:val="24"/>
        </w:rPr>
        <w:t>3) Çok ciddi bir sorun olan ve giderek çoğalan enerji yoksulluğunun yakıcı etkilerini azaltmak için enerji yoksullarına kamu</w:t>
      </w:r>
      <w:r w:rsidR="00FF4492">
        <w:rPr>
          <w:sz w:val="24"/>
          <w:szCs w:val="24"/>
        </w:rPr>
        <w:t>sal destekler art</w:t>
      </w:r>
      <w:r w:rsidRPr="008E27C1">
        <w:rPr>
          <w:sz w:val="24"/>
          <w:szCs w:val="24"/>
        </w:rPr>
        <w:t xml:space="preserve">ırılmalı ve </w:t>
      </w:r>
      <w:r w:rsidR="00FF4492">
        <w:rPr>
          <w:sz w:val="24"/>
          <w:szCs w:val="24"/>
        </w:rPr>
        <w:t xml:space="preserve">genişletilmelidir. Düşük gelirli ailelere yapılan elektrik yardımının üst sınırı 150 kilovat saatten 240 kilovat saate yükseltilmelidir. </w:t>
      </w:r>
    </w:p>
    <w:p w:rsidR="00BB7ED5" w:rsidRPr="008E27C1" w:rsidRDefault="00BB7ED5" w:rsidP="00FF4492">
      <w:pPr>
        <w:tabs>
          <w:tab w:val="num" w:pos="720"/>
        </w:tabs>
        <w:spacing w:before="60" w:line="240" w:lineRule="atLeast"/>
        <w:jc w:val="both"/>
        <w:rPr>
          <w:sz w:val="24"/>
          <w:szCs w:val="24"/>
        </w:rPr>
      </w:pPr>
      <w:r w:rsidRPr="008E27C1">
        <w:rPr>
          <w:sz w:val="24"/>
          <w:szCs w:val="24"/>
        </w:rPr>
        <w:t xml:space="preserve">Bireysel ısınma ile </w:t>
      </w:r>
      <w:r>
        <w:rPr>
          <w:sz w:val="24"/>
          <w:szCs w:val="24"/>
        </w:rPr>
        <w:t>ısınan bir konutun yıllık doğal</w:t>
      </w:r>
      <w:r w:rsidRPr="008E27C1">
        <w:rPr>
          <w:sz w:val="24"/>
          <w:szCs w:val="24"/>
        </w:rPr>
        <w:t>gaz tüketimi, örneğin Ankara’da 950 m</w:t>
      </w:r>
      <w:r w:rsidRPr="008E27C1">
        <w:rPr>
          <w:sz w:val="24"/>
          <w:szCs w:val="24"/>
          <w:vertAlign w:val="superscript"/>
        </w:rPr>
        <w:t>3</w:t>
      </w:r>
      <w:r w:rsidRPr="008E27C1">
        <w:rPr>
          <w:sz w:val="24"/>
          <w:szCs w:val="24"/>
        </w:rPr>
        <w:t>’tür.</w:t>
      </w:r>
      <w:r>
        <w:rPr>
          <w:sz w:val="24"/>
          <w:szCs w:val="24"/>
        </w:rPr>
        <w:t xml:space="preserve"> </w:t>
      </w:r>
      <w:r w:rsidRPr="008E27C1">
        <w:rPr>
          <w:sz w:val="24"/>
          <w:szCs w:val="24"/>
        </w:rPr>
        <w:t>1 Nisan zammından sonra, bu tüketim için ödenecek miktar 3 bin 496 TL’dir. D</w:t>
      </w:r>
      <w:r w:rsidR="00FF4492">
        <w:rPr>
          <w:sz w:val="24"/>
          <w:szCs w:val="24"/>
        </w:rPr>
        <w:t>üşük</w:t>
      </w:r>
      <w:r w:rsidRPr="008E27C1">
        <w:rPr>
          <w:sz w:val="24"/>
          <w:szCs w:val="24"/>
        </w:rPr>
        <w:t xml:space="preserve"> gelirli ailelere yapılacağı açıklanan 450-1.150 TL yardım, yıl içinde hiç yeni zam yapılmasa bile</w:t>
      </w:r>
      <w:r w:rsidR="00381CA3">
        <w:rPr>
          <w:sz w:val="24"/>
          <w:szCs w:val="24"/>
        </w:rPr>
        <w:t>,</w:t>
      </w:r>
      <w:r w:rsidRPr="008E27C1">
        <w:rPr>
          <w:sz w:val="24"/>
          <w:szCs w:val="24"/>
        </w:rPr>
        <w:t xml:space="preserve"> ödenecek gaz bedelinin yalnızca yüzde 13-33’ünü karşılamaktadır. Destek tutarı, ödenecek gaz bedeline eşitlenmeli ve kapsamı tüm düşük gelirli aileleri kapsayacak şekilde genişletilmelidir. Ayrıca yerel yönetimler bedelsiz veya düşük bedelle su desteği vermelidir.</w:t>
      </w:r>
    </w:p>
    <w:p w:rsidR="00BB7ED5" w:rsidRPr="008E27C1" w:rsidRDefault="00BB7ED5" w:rsidP="00FF4492">
      <w:pPr>
        <w:tabs>
          <w:tab w:val="num" w:pos="720"/>
        </w:tabs>
        <w:spacing w:before="60" w:line="240" w:lineRule="atLeast"/>
        <w:jc w:val="both"/>
        <w:rPr>
          <w:sz w:val="24"/>
          <w:szCs w:val="24"/>
        </w:rPr>
      </w:pPr>
      <w:r>
        <w:rPr>
          <w:sz w:val="24"/>
          <w:szCs w:val="24"/>
        </w:rPr>
        <w:t>4) Enerji girdileri</w:t>
      </w:r>
      <w:r w:rsidRPr="008E27C1">
        <w:rPr>
          <w:sz w:val="24"/>
          <w:szCs w:val="24"/>
        </w:rPr>
        <w:t xml:space="preserve"> ve ürünlerindeki yüksek vergiler düşürülmeli, elektrik faturalarına eklenerek konut abonelerinden zorla tahsil edilen kayıp/kaçak bedeli ve dağıtım şirketlerine ilave kazançlar sağlayan tüm kalemler iptal edilmelidir. </w:t>
      </w:r>
    </w:p>
    <w:p w:rsidR="00661150" w:rsidRDefault="00BB7ED5" w:rsidP="00FF4492">
      <w:pPr>
        <w:tabs>
          <w:tab w:val="num" w:pos="720"/>
        </w:tabs>
        <w:spacing w:before="60" w:line="240" w:lineRule="atLeast"/>
        <w:jc w:val="both"/>
        <w:rPr>
          <w:sz w:val="24"/>
          <w:szCs w:val="24"/>
        </w:rPr>
      </w:pPr>
      <w:bookmarkStart w:id="0" w:name="_Hlk96285657"/>
      <w:bookmarkStart w:id="1" w:name="_Hlk96285573"/>
      <w:bookmarkStart w:id="2" w:name="_Hlk96285344"/>
      <w:r w:rsidRPr="008E27C1">
        <w:rPr>
          <w:sz w:val="24"/>
          <w:szCs w:val="24"/>
        </w:rPr>
        <w:t xml:space="preserve">5) </w:t>
      </w:r>
      <w:bookmarkStart w:id="3" w:name="_Hlk96285692"/>
      <w:r w:rsidRPr="008E27C1">
        <w:rPr>
          <w:sz w:val="24"/>
          <w:szCs w:val="24"/>
        </w:rPr>
        <w:t xml:space="preserve">Konutlarda temel ihtiyaçlardan olan elektrik, doğalgaz, su ve iletişim ile ilgili faturalardaki KDV ve </w:t>
      </w:r>
      <w:bookmarkEnd w:id="0"/>
      <w:r w:rsidRPr="008E27C1">
        <w:rPr>
          <w:sz w:val="24"/>
          <w:szCs w:val="24"/>
        </w:rPr>
        <w:t>Özel İletişim Vergisi kaldırılmalıdır</w:t>
      </w:r>
      <w:bookmarkEnd w:id="1"/>
      <w:r w:rsidRPr="008E27C1">
        <w:rPr>
          <w:sz w:val="24"/>
          <w:szCs w:val="24"/>
        </w:rPr>
        <w:t>.</w:t>
      </w:r>
      <w:bookmarkEnd w:id="3"/>
      <w:r w:rsidRPr="008E27C1">
        <w:rPr>
          <w:sz w:val="24"/>
          <w:szCs w:val="24"/>
        </w:rPr>
        <w:t xml:space="preserve"> </w:t>
      </w:r>
      <w:bookmarkEnd w:id="2"/>
    </w:p>
    <w:p w:rsidR="001A1C8A" w:rsidRPr="009C6479" w:rsidRDefault="005339EC" w:rsidP="00FF4492">
      <w:pPr>
        <w:widowControl w:val="0"/>
        <w:spacing w:line="240" w:lineRule="atLeast"/>
        <w:jc w:val="right"/>
        <w:rPr>
          <w:b/>
          <w:spacing w:val="-2"/>
          <w:sz w:val="24"/>
          <w:szCs w:val="24"/>
        </w:rPr>
      </w:pPr>
      <w:r w:rsidRPr="009C6479">
        <w:rPr>
          <w:b/>
          <w:spacing w:val="-2"/>
          <w:sz w:val="24"/>
          <w:szCs w:val="24"/>
        </w:rPr>
        <w:t>YUNUS YENER</w:t>
      </w:r>
    </w:p>
    <w:p w:rsidR="00C27999" w:rsidRDefault="005339EC" w:rsidP="00FF4492">
      <w:pPr>
        <w:widowControl w:val="0"/>
        <w:spacing w:line="240" w:lineRule="atLeast"/>
        <w:jc w:val="right"/>
        <w:rPr>
          <w:b/>
          <w:spacing w:val="-2"/>
          <w:sz w:val="24"/>
          <w:szCs w:val="24"/>
        </w:rPr>
      </w:pPr>
      <w:r w:rsidRPr="009C6479">
        <w:rPr>
          <w:b/>
          <w:spacing w:val="-2"/>
          <w:sz w:val="24"/>
          <w:szCs w:val="24"/>
        </w:rPr>
        <w:t>TMMOB MAKİNA MÜHENDİSLERİ ODASI BAŞKANI</w:t>
      </w:r>
    </w:p>
    <w:p w:rsidR="00661150" w:rsidRPr="00381CA3" w:rsidRDefault="00661150" w:rsidP="00FF4492">
      <w:pPr>
        <w:widowControl w:val="0"/>
        <w:spacing w:before="120" w:line="240" w:lineRule="atLeast"/>
        <w:jc w:val="both"/>
        <w:rPr>
          <w:spacing w:val="-2"/>
          <w:sz w:val="22"/>
          <w:szCs w:val="22"/>
        </w:rPr>
      </w:pPr>
      <w:r w:rsidRPr="00381CA3">
        <w:rPr>
          <w:b/>
          <w:spacing w:val="-2"/>
          <w:sz w:val="22"/>
          <w:szCs w:val="22"/>
        </w:rPr>
        <w:t xml:space="preserve">Not: </w:t>
      </w:r>
      <w:r w:rsidRPr="00381CA3">
        <w:rPr>
          <w:spacing w:val="-2"/>
          <w:sz w:val="22"/>
          <w:szCs w:val="22"/>
        </w:rPr>
        <w:t>Aşağıdaki</w:t>
      </w:r>
      <w:r w:rsidRPr="00381CA3">
        <w:rPr>
          <w:spacing w:val="-2"/>
          <w:sz w:val="22"/>
          <w:szCs w:val="22"/>
        </w:rPr>
        <w:t xml:space="preserve"> tablo ve  grafikler</w:t>
      </w:r>
      <w:r w:rsidR="00215036" w:rsidRPr="00381CA3">
        <w:rPr>
          <w:spacing w:val="-2"/>
          <w:sz w:val="22"/>
          <w:szCs w:val="22"/>
        </w:rPr>
        <w:t>,</w:t>
      </w:r>
      <w:r w:rsidRPr="00381CA3">
        <w:rPr>
          <w:spacing w:val="-2"/>
          <w:sz w:val="22"/>
          <w:szCs w:val="22"/>
        </w:rPr>
        <w:t xml:space="preserve"> MMO Enerji Çalışma Grubu Başkanı Oğuz Türkyılmaz</w:t>
      </w:r>
      <w:r w:rsidRPr="00381CA3">
        <w:rPr>
          <w:spacing w:val="-2"/>
          <w:sz w:val="22"/>
          <w:szCs w:val="22"/>
        </w:rPr>
        <w:t xml:space="preserve"> </w:t>
      </w:r>
      <w:r w:rsidRPr="00381CA3">
        <w:rPr>
          <w:spacing w:val="-2"/>
          <w:sz w:val="22"/>
          <w:szCs w:val="22"/>
        </w:rPr>
        <w:t>v</w:t>
      </w:r>
      <w:r w:rsidR="00215036" w:rsidRPr="00381CA3">
        <w:rPr>
          <w:spacing w:val="-2"/>
          <w:sz w:val="22"/>
          <w:szCs w:val="22"/>
        </w:rPr>
        <w:t>e</w:t>
      </w:r>
      <w:r w:rsidRPr="00381CA3">
        <w:rPr>
          <w:spacing w:val="-2"/>
          <w:sz w:val="22"/>
          <w:szCs w:val="22"/>
        </w:rPr>
        <w:t xml:space="preserve"> </w:t>
      </w:r>
      <w:r w:rsidRPr="00381CA3">
        <w:rPr>
          <w:spacing w:val="-2"/>
          <w:sz w:val="22"/>
          <w:szCs w:val="22"/>
        </w:rPr>
        <w:t xml:space="preserve">Enerji Çalışma Grubu </w:t>
      </w:r>
      <w:r w:rsidRPr="00381CA3">
        <w:rPr>
          <w:spacing w:val="-2"/>
          <w:sz w:val="22"/>
          <w:szCs w:val="22"/>
        </w:rPr>
        <w:t>Danışmanı Olgun Sakarya tarafından hazırlanmıştır</w:t>
      </w:r>
      <w:r w:rsidR="00215036" w:rsidRPr="00381CA3">
        <w:rPr>
          <w:spacing w:val="-2"/>
          <w:sz w:val="22"/>
          <w:szCs w:val="22"/>
        </w:rPr>
        <w:t>.</w:t>
      </w:r>
      <w:r w:rsidR="00FF4492">
        <w:rPr>
          <w:spacing w:val="-2"/>
          <w:sz w:val="22"/>
          <w:szCs w:val="22"/>
        </w:rPr>
        <w:t xml:space="preserve"> </w:t>
      </w:r>
    </w:p>
    <w:p w:rsidR="00215036" w:rsidRDefault="00215036" w:rsidP="00215036">
      <w:pPr>
        <w:jc w:val="center"/>
      </w:pPr>
      <w:r w:rsidRPr="008460EF">
        <w:rPr>
          <w:noProof/>
        </w:rPr>
        <w:lastRenderedPageBreak/>
        <w:drawing>
          <wp:inline distT="0" distB="0" distL="0" distR="0">
            <wp:extent cx="5428552" cy="3909849"/>
            <wp:effectExtent l="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1" cstate="print"/>
                    <a:stretch>
                      <a:fillRect/>
                    </a:stretch>
                  </pic:blipFill>
                  <pic:spPr>
                    <a:xfrm>
                      <a:off x="0" y="0"/>
                      <a:ext cx="5436989" cy="3915926"/>
                    </a:xfrm>
                    <a:prstGeom prst="rect">
                      <a:avLst/>
                    </a:prstGeom>
                  </pic:spPr>
                </pic:pic>
              </a:graphicData>
            </a:graphic>
          </wp:inline>
        </w:drawing>
      </w:r>
    </w:p>
    <w:p w:rsidR="005E5E49" w:rsidRDefault="005E5E49" w:rsidP="005E5E49">
      <w:pPr>
        <w:jc w:val="both"/>
      </w:pPr>
    </w:p>
    <w:p w:rsidR="00381CA3" w:rsidRDefault="00381CA3" w:rsidP="005E5E49">
      <w:pPr>
        <w:jc w:val="both"/>
      </w:pPr>
    </w:p>
    <w:p w:rsidR="00215036" w:rsidRDefault="00215036" w:rsidP="00215036">
      <w:pPr>
        <w:jc w:val="center"/>
      </w:pPr>
      <w:r w:rsidRPr="008460EF">
        <w:rPr>
          <w:noProof/>
        </w:rPr>
        <w:drawing>
          <wp:inline distT="0" distB="0" distL="0" distR="0">
            <wp:extent cx="4431030" cy="3625610"/>
            <wp:effectExtent l="19050" t="0" r="762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2" cstate="print"/>
                    <a:stretch>
                      <a:fillRect/>
                    </a:stretch>
                  </pic:blipFill>
                  <pic:spPr>
                    <a:xfrm>
                      <a:off x="0" y="0"/>
                      <a:ext cx="4445182" cy="3637190"/>
                    </a:xfrm>
                    <a:prstGeom prst="rect">
                      <a:avLst/>
                    </a:prstGeom>
                  </pic:spPr>
                </pic:pic>
              </a:graphicData>
            </a:graphic>
          </wp:inline>
        </w:drawing>
      </w:r>
    </w:p>
    <w:p w:rsidR="00BB7ED5" w:rsidRDefault="00BB7ED5" w:rsidP="005E5E49">
      <w:pPr>
        <w:spacing w:before="240"/>
        <w:jc w:val="center"/>
        <w:rPr>
          <w:b/>
          <w:bCs/>
        </w:rPr>
      </w:pPr>
    </w:p>
    <w:p w:rsidR="00BB7ED5" w:rsidRDefault="00BB7ED5" w:rsidP="005E5E49">
      <w:pPr>
        <w:spacing w:before="240"/>
        <w:jc w:val="center"/>
        <w:rPr>
          <w:b/>
          <w:bCs/>
        </w:rPr>
      </w:pPr>
    </w:p>
    <w:p w:rsidR="00381CA3" w:rsidRDefault="00381CA3" w:rsidP="005E5E49">
      <w:pPr>
        <w:spacing w:before="240"/>
        <w:jc w:val="center"/>
        <w:rPr>
          <w:b/>
          <w:bCs/>
        </w:rPr>
      </w:pPr>
    </w:p>
    <w:p w:rsidR="00215036" w:rsidRPr="00767BCB" w:rsidRDefault="00215036" w:rsidP="005E5E49">
      <w:pPr>
        <w:spacing w:before="240"/>
        <w:jc w:val="center"/>
      </w:pPr>
      <w:r w:rsidRPr="00767BCB">
        <w:rPr>
          <w:b/>
          <w:bCs/>
        </w:rPr>
        <w:lastRenderedPageBreak/>
        <w:t>BOTAŞ Gaz Satış Fiyat Tarifeleri Değişimi 31.12.2021-01.04.2022 Dönemi</w:t>
      </w:r>
    </w:p>
    <w:p w:rsidR="00215036" w:rsidRPr="00767BCB" w:rsidRDefault="00215036" w:rsidP="00215036">
      <w:pPr>
        <w:jc w:val="center"/>
      </w:pPr>
      <w:r w:rsidRPr="00767BCB">
        <w:rPr>
          <w:b/>
          <w:bCs/>
        </w:rPr>
        <w:t>(ÖTV ve KDV Hariç Fiyatlar-TL/M</w:t>
      </w:r>
      <w:r w:rsidRPr="00767BCB">
        <w:rPr>
          <w:b/>
          <w:bCs/>
          <w:vertAlign w:val="superscript"/>
        </w:rPr>
        <w:t>3</w:t>
      </w:r>
      <w:r w:rsidRPr="00767BCB">
        <w:rPr>
          <w:b/>
          <w:bCs/>
        </w:rPr>
        <w:t>)</w:t>
      </w:r>
    </w:p>
    <w:tbl>
      <w:tblPr>
        <w:tblW w:w="0" w:type="auto"/>
        <w:tblInd w:w="353" w:type="dxa"/>
        <w:tblCellMar>
          <w:left w:w="0" w:type="dxa"/>
          <w:right w:w="0" w:type="dxa"/>
        </w:tblCellMar>
        <w:tblLook w:val="0600"/>
      </w:tblPr>
      <w:tblGrid>
        <w:gridCol w:w="1141"/>
        <w:gridCol w:w="948"/>
        <w:gridCol w:w="948"/>
        <w:gridCol w:w="528"/>
        <w:gridCol w:w="948"/>
        <w:gridCol w:w="528"/>
        <w:gridCol w:w="948"/>
        <w:gridCol w:w="528"/>
        <w:gridCol w:w="948"/>
        <w:gridCol w:w="573"/>
        <w:gridCol w:w="750"/>
      </w:tblGrid>
      <w:tr w:rsidR="005E5E49" w:rsidRPr="001F5612" w:rsidTr="005E5E49">
        <w:trPr>
          <w:trHeight w:val="918"/>
        </w:trPr>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5E5E49" w:rsidRDefault="005E5E49" w:rsidP="005E5E49">
            <w:pPr>
              <w:rPr>
                <w:rFonts w:cstheme="minorHAnsi"/>
                <w:b/>
                <w:bCs/>
              </w:rPr>
            </w:pPr>
            <w:r w:rsidRPr="005E5E49">
              <w:rPr>
                <w:rFonts w:cstheme="minorHAnsi"/>
                <w:b/>
                <w:bCs/>
              </w:rPr>
              <w:t>Tüketim Grubu</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sidRPr="001F5612">
              <w:rPr>
                <w:rFonts w:cstheme="minorHAnsi"/>
                <w:b/>
                <w:bCs/>
                <w:sz w:val="18"/>
                <w:szCs w:val="18"/>
              </w:rPr>
              <w:t>31.12.2021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Pr>
                <w:rFonts w:cstheme="minorHAnsi"/>
                <w:b/>
                <w:bCs/>
                <w:sz w:val="18"/>
                <w:szCs w:val="18"/>
              </w:rPr>
              <w:t>0</w:t>
            </w:r>
            <w:r w:rsidRPr="001F5612">
              <w:rPr>
                <w:rFonts w:cstheme="minorHAnsi"/>
                <w:b/>
                <w:bCs/>
                <w:sz w:val="18"/>
                <w:szCs w:val="18"/>
              </w:rPr>
              <w:t>1.</w:t>
            </w:r>
            <w:r>
              <w:rPr>
                <w:rFonts w:cstheme="minorHAnsi"/>
                <w:b/>
                <w:bCs/>
                <w:sz w:val="18"/>
                <w:szCs w:val="18"/>
              </w:rPr>
              <w:t>0</w:t>
            </w:r>
            <w:r w:rsidRPr="001F5612">
              <w:rPr>
                <w:rFonts w:cstheme="minorHAnsi"/>
                <w:b/>
                <w:bCs/>
                <w:sz w:val="18"/>
                <w:szCs w:val="18"/>
              </w:rPr>
              <w:t>1.2022</w:t>
            </w:r>
          </w:p>
          <w:p w:rsidR="00215036" w:rsidRPr="001F5612" w:rsidRDefault="00215036" w:rsidP="00A57565">
            <w:pPr>
              <w:jc w:val="center"/>
              <w:rPr>
                <w:rFonts w:cstheme="minorHAnsi"/>
                <w:b/>
                <w:bCs/>
                <w:sz w:val="18"/>
                <w:szCs w:val="18"/>
              </w:rPr>
            </w:pPr>
            <w:r w:rsidRPr="001F5612">
              <w:rPr>
                <w:rFonts w:cstheme="minorHAnsi"/>
                <w:b/>
                <w:bCs/>
                <w:sz w:val="18"/>
                <w:szCs w:val="18"/>
              </w:rPr>
              <w:t>Fiyat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Default="00215036" w:rsidP="00A57565">
            <w:pPr>
              <w:jc w:val="center"/>
              <w:rPr>
                <w:rFonts w:cstheme="minorHAnsi"/>
                <w:b/>
                <w:bCs/>
                <w:sz w:val="18"/>
                <w:szCs w:val="18"/>
              </w:rPr>
            </w:pPr>
            <w:r w:rsidRPr="001F5612">
              <w:rPr>
                <w:rFonts w:cstheme="minorHAnsi"/>
                <w:b/>
                <w:bCs/>
                <w:sz w:val="18"/>
                <w:szCs w:val="18"/>
              </w:rPr>
              <w:t>Artış</w:t>
            </w:r>
          </w:p>
          <w:p w:rsidR="00215036" w:rsidRPr="001F5612" w:rsidRDefault="00215036" w:rsidP="00A57565">
            <w:pPr>
              <w:jc w:val="center"/>
              <w:rPr>
                <w:rFonts w:cstheme="minorHAnsi"/>
                <w:b/>
                <w:bCs/>
                <w:sz w:val="18"/>
                <w:szCs w:val="18"/>
              </w:rPr>
            </w:pPr>
            <w:r w:rsidRPr="001F5612">
              <w:rPr>
                <w:rFonts w:cstheme="minorHAnsi"/>
                <w:b/>
                <w:bCs/>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Pr>
                <w:rFonts w:cstheme="minorHAnsi"/>
                <w:b/>
                <w:bCs/>
                <w:sz w:val="18"/>
                <w:szCs w:val="18"/>
              </w:rPr>
              <w:t>0</w:t>
            </w:r>
            <w:r w:rsidRPr="001F5612">
              <w:rPr>
                <w:rFonts w:cstheme="minorHAnsi"/>
                <w:b/>
                <w:bCs/>
                <w:sz w:val="18"/>
                <w:szCs w:val="18"/>
              </w:rPr>
              <w:t>1.</w:t>
            </w:r>
            <w:r>
              <w:rPr>
                <w:rFonts w:cstheme="minorHAnsi"/>
                <w:b/>
                <w:bCs/>
                <w:sz w:val="18"/>
                <w:szCs w:val="18"/>
              </w:rPr>
              <w:t>0</w:t>
            </w:r>
            <w:r w:rsidRPr="001F5612">
              <w:rPr>
                <w:rFonts w:cstheme="minorHAnsi"/>
                <w:b/>
                <w:bCs/>
                <w:sz w:val="18"/>
                <w:szCs w:val="18"/>
              </w:rPr>
              <w:t>2.2022</w:t>
            </w:r>
          </w:p>
          <w:p w:rsidR="00215036" w:rsidRPr="001F5612" w:rsidRDefault="00215036" w:rsidP="00A57565">
            <w:pPr>
              <w:jc w:val="center"/>
              <w:rPr>
                <w:rFonts w:cstheme="minorHAnsi"/>
                <w:b/>
                <w:bCs/>
                <w:sz w:val="18"/>
                <w:szCs w:val="18"/>
              </w:rPr>
            </w:pPr>
            <w:r w:rsidRPr="001F5612">
              <w:rPr>
                <w:rFonts w:cstheme="minorHAnsi"/>
                <w:b/>
                <w:bCs/>
                <w:sz w:val="18"/>
                <w:szCs w:val="18"/>
              </w:rPr>
              <w:t>Fiyat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Default="00215036" w:rsidP="00A57565">
            <w:pPr>
              <w:jc w:val="center"/>
              <w:rPr>
                <w:rFonts w:cstheme="minorHAnsi"/>
                <w:b/>
                <w:bCs/>
                <w:sz w:val="18"/>
                <w:szCs w:val="18"/>
              </w:rPr>
            </w:pPr>
            <w:r w:rsidRPr="001F5612">
              <w:rPr>
                <w:rFonts w:cstheme="minorHAnsi"/>
                <w:b/>
                <w:bCs/>
                <w:sz w:val="18"/>
                <w:szCs w:val="18"/>
              </w:rPr>
              <w:t>Artış</w:t>
            </w:r>
          </w:p>
          <w:p w:rsidR="00215036" w:rsidRPr="001F5612" w:rsidRDefault="00215036" w:rsidP="00A57565">
            <w:pPr>
              <w:jc w:val="center"/>
              <w:rPr>
                <w:rFonts w:cstheme="minorHAnsi"/>
                <w:b/>
                <w:bCs/>
                <w:sz w:val="18"/>
                <w:szCs w:val="18"/>
              </w:rPr>
            </w:pPr>
            <w:r w:rsidRPr="001F5612">
              <w:rPr>
                <w:rFonts w:cstheme="minorHAnsi"/>
                <w:b/>
                <w:bCs/>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Pr>
                <w:rFonts w:cstheme="minorHAnsi"/>
                <w:b/>
                <w:bCs/>
                <w:sz w:val="18"/>
                <w:szCs w:val="18"/>
              </w:rPr>
              <w:t>0</w:t>
            </w:r>
            <w:r w:rsidRPr="001F5612">
              <w:rPr>
                <w:rFonts w:cstheme="minorHAnsi"/>
                <w:b/>
                <w:bCs/>
                <w:sz w:val="18"/>
                <w:szCs w:val="18"/>
              </w:rPr>
              <w:t>1.</w:t>
            </w:r>
            <w:r>
              <w:rPr>
                <w:rFonts w:cstheme="minorHAnsi"/>
                <w:b/>
                <w:bCs/>
                <w:sz w:val="18"/>
                <w:szCs w:val="18"/>
              </w:rPr>
              <w:t>0</w:t>
            </w:r>
            <w:r w:rsidRPr="001F5612">
              <w:rPr>
                <w:rFonts w:cstheme="minorHAnsi"/>
                <w:b/>
                <w:bCs/>
                <w:sz w:val="18"/>
                <w:szCs w:val="18"/>
              </w:rPr>
              <w:t>3.2022</w:t>
            </w:r>
          </w:p>
          <w:p w:rsidR="00215036" w:rsidRPr="001F5612" w:rsidRDefault="00215036" w:rsidP="00A57565">
            <w:pPr>
              <w:jc w:val="center"/>
              <w:rPr>
                <w:rFonts w:cstheme="minorHAnsi"/>
                <w:b/>
                <w:bCs/>
                <w:sz w:val="18"/>
                <w:szCs w:val="18"/>
              </w:rPr>
            </w:pPr>
            <w:r w:rsidRPr="001F5612">
              <w:rPr>
                <w:rFonts w:cstheme="minorHAnsi"/>
                <w:b/>
                <w:bCs/>
                <w:sz w:val="18"/>
                <w:szCs w:val="18"/>
              </w:rPr>
              <w:t>Fiyat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Default="00215036" w:rsidP="00A57565">
            <w:pPr>
              <w:jc w:val="center"/>
              <w:rPr>
                <w:rFonts w:cstheme="minorHAnsi"/>
                <w:b/>
                <w:bCs/>
                <w:sz w:val="18"/>
                <w:szCs w:val="18"/>
              </w:rPr>
            </w:pPr>
            <w:r w:rsidRPr="001F5612">
              <w:rPr>
                <w:rFonts w:cstheme="minorHAnsi"/>
                <w:b/>
                <w:bCs/>
                <w:sz w:val="18"/>
                <w:szCs w:val="18"/>
              </w:rPr>
              <w:t>Artış</w:t>
            </w:r>
          </w:p>
          <w:p w:rsidR="00215036" w:rsidRPr="001F5612" w:rsidRDefault="00215036" w:rsidP="00A57565">
            <w:pPr>
              <w:jc w:val="center"/>
              <w:rPr>
                <w:rFonts w:cstheme="minorHAnsi"/>
                <w:b/>
                <w:bCs/>
                <w:sz w:val="18"/>
                <w:szCs w:val="18"/>
              </w:rPr>
            </w:pPr>
            <w:r w:rsidRPr="001F5612">
              <w:rPr>
                <w:rFonts w:cstheme="minorHAnsi"/>
                <w:b/>
                <w:bCs/>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Pr>
                <w:rFonts w:cstheme="minorHAnsi"/>
                <w:b/>
                <w:bCs/>
                <w:sz w:val="18"/>
                <w:szCs w:val="18"/>
              </w:rPr>
              <w:t>0</w:t>
            </w:r>
            <w:r w:rsidRPr="001F5612">
              <w:rPr>
                <w:rFonts w:cstheme="minorHAnsi"/>
                <w:b/>
                <w:bCs/>
                <w:sz w:val="18"/>
                <w:szCs w:val="18"/>
              </w:rPr>
              <w:t>1.</w:t>
            </w:r>
            <w:r>
              <w:rPr>
                <w:rFonts w:cstheme="minorHAnsi"/>
                <w:b/>
                <w:bCs/>
                <w:sz w:val="18"/>
                <w:szCs w:val="18"/>
              </w:rPr>
              <w:t>0</w:t>
            </w:r>
            <w:r w:rsidRPr="001F5612">
              <w:rPr>
                <w:rFonts w:cstheme="minorHAnsi"/>
                <w:b/>
                <w:bCs/>
                <w:sz w:val="18"/>
                <w:szCs w:val="18"/>
              </w:rPr>
              <w:t>4.2022</w:t>
            </w:r>
          </w:p>
          <w:p w:rsidR="00215036" w:rsidRPr="001F5612" w:rsidRDefault="00215036" w:rsidP="00A57565">
            <w:pPr>
              <w:jc w:val="center"/>
              <w:rPr>
                <w:rFonts w:cstheme="minorHAnsi"/>
                <w:b/>
                <w:bCs/>
                <w:sz w:val="18"/>
                <w:szCs w:val="18"/>
              </w:rPr>
            </w:pPr>
            <w:r w:rsidRPr="001F5612">
              <w:rPr>
                <w:rFonts w:cstheme="minorHAnsi"/>
                <w:b/>
                <w:bCs/>
                <w:sz w:val="18"/>
                <w:szCs w:val="18"/>
              </w:rPr>
              <w:t>Fiyat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sidRPr="001F5612">
              <w:rPr>
                <w:rFonts w:cstheme="minorHAnsi"/>
                <w:b/>
                <w:bCs/>
                <w:sz w:val="18"/>
                <w:szCs w:val="18"/>
              </w:rPr>
              <w:t>Artış.</w:t>
            </w:r>
            <w:r w:rsidRPr="001F5612">
              <w:rPr>
                <w:rFonts w:cstheme="minorHAnsi"/>
                <w:b/>
                <w:bCs/>
                <w:sz w:val="18"/>
                <w:szCs w:val="18"/>
              </w:rPr>
              <w:br/>
              <w:t>(%)</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bottom"/>
            <w:hideMark/>
          </w:tcPr>
          <w:p w:rsidR="00215036" w:rsidRPr="001F5612" w:rsidRDefault="00215036" w:rsidP="00A57565">
            <w:pPr>
              <w:jc w:val="center"/>
              <w:rPr>
                <w:rFonts w:cstheme="minorHAnsi"/>
                <w:b/>
                <w:bCs/>
                <w:sz w:val="18"/>
                <w:szCs w:val="18"/>
              </w:rPr>
            </w:pPr>
            <w:r w:rsidRPr="001F5612">
              <w:rPr>
                <w:rFonts w:cstheme="minorHAnsi"/>
                <w:b/>
                <w:bCs/>
                <w:sz w:val="18"/>
                <w:szCs w:val="18"/>
              </w:rPr>
              <w:t>Top</w:t>
            </w:r>
            <w:r>
              <w:rPr>
                <w:rFonts w:cstheme="minorHAnsi"/>
                <w:b/>
                <w:bCs/>
                <w:sz w:val="18"/>
                <w:szCs w:val="18"/>
              </w:rPr>
              <w:t>lam</w:t>
            </w:r>
          </w:p>
          <w:p w:rsidR="00215036" w:rsidRPr="001F5612" w:rsidRDefault="00215036" w:rsidP="00A57565">
            <w:pPr>
              <w:jc w:val="center"/>
              <w:rPr>
                <w:rFonts w:cstheme="minorHAnsi"/>
                <w:b/>
                <w:bCs/>
                <w:sz w:val="18"/>
                <w:szCs w:val="18"/>
              </w:rPr>
            </w:pPr>
            <w:r w:rsidRPr="001F5612">
              <w:rPr>
                <w:rFonts w:cstheme="minorHAnsi"/>
                <w:b/>
                <w:bCs/>
                <w:sz w:val="18"/>
                <w:szCs w:val="18"/>
              </w:rPr>
              <w:t>Fiy</w:t>
            </w:r>
            <w:r>
              <w:rPr>
                <w:rFonts w:cstheme="minorHAnsi"/>
                <w:b/>
                <w:bCs/>
                <w:sz w:val="18"/>
                <w:szCs w:val="18"/>
              </w:rPr>
              <w:t>at</w:t>
            </w:r>
          </w:p>
          <w:p w:rsidR="00215036" w:rsidRPr="001F5612" w:rsidRDefault="00215036" w:rsidP="00A57565">
            <w:pPr>
              <w:jc w:val="center"/>
              <w:rPr>
                <w:rFonts w:cstheme="minorHAnsi"/>
                <w:b/>
                <w:bCs/>
                <w:sz w:val="18"/>
                <w:szCs w:val="18"/>
              </w:rPr>
            </w:pPr>
            <w:r w:rsidRPr="001F5612">
              <w:rPr>
                <w:rFonts w:cstheme="minorHAnsi"/>
                <w:b/>
                <w:bCs/>
                <w:sz w:val="18"/>
                <w:szCs w:val="18"/>
              </w:rPr>
              <w:t>Artışı</w:t>
            </w:r>
            <w:r>
              <w:rPr>
                <w:rFonts w:cstheme="minorHAnsi"/>
                <w:b/>
                <w:bCs/>
                <w:sz w:val="18"/>
                <w:szCs w:val="18"/>
              </w:rPr>
              <w:t xml:space="preserve"> </w:t>
            </w:r>
            <w:r w:rsidRPr="001F5612">
              <w:rPr>
                <w:rFonts w:cstheme="minorHAnsi"/>
                <w:b/>
                <w:bCs/>
                <w:sz w:val="18"/>
                <w:szCs w:val="18"/>
              </w:rPr>
              <w:t>(%)</w:t>
            </w:r>
          </w:p>
        </w:tc>
      </w:tr>
      <w:tr w:rsidR="005E5E49" w:rsidRPr="001F5612" w:rsidTr="005E5E49">
        <w:trPr>
          <w:trHeight w:val="366"/>
        </w:trPr>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hideMark/>
          </w:tcPr>
          <w:p w:rsidR="00215036" w:rsidRPr="001F5612" w:rsidRDefault="00215036" w:rsidP="00A57565">
            <w:pPr>
              <w:rPr>
                <w:rFonts w:cstheme="minorHAnsi"/>
                <w:sz w:val="18"/>
                <w:szCs w:val="18"/>
              </w:rPr>
            </w:pPr>
            <w:r w:rsidRPr="001F5612">
              <w:rPr>
                <w:rFonts w:cstheme="minorHAnsi"/>
                <w:sz w:val="18"/>
                <w:szCs w:val="18"/>
              </w:rPr>
              <w:t>K</w:t>
            </w:r>
            <w:r>
              <w:rPr>
                <w:rFonts w:cstheme="minorHAnsi"/>
                <w:sz w:val="18"/>
                <w:szCs w:val="18"/>
              </w:rPr>
              <w:t>onut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1,488094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1,860118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1,86018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1,86018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2,51159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35</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68,25</w:t>
            </w:r>
          </w:p>
        </w:tc>
      </w:tr>
      <w:tr w:rsidR="005E5E49" w:rsidRPr="001F5612" w:rsidTr="005E5E49">
        <w:trPr>
          <w:trHeight w:val="582"/>
        </w:trPr>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hideMark/>
          </w:tcPr>
          <w:p w:rsidR="00215036" w:rsidRPr="001F5612" w:rsidRDefault="00215036" w:rsidP="00A57565">
            <w:pPr>
              <w:rPr>
                <w:rFonts w:cstheme="minorHAnsi"/>
                <w:sz w:val="18"/>
                <w:szCs w:val="18"/>
              </w:rPr>
            </w:pPr>
            <w:r w:rsidRPr="001F5612">
              <w:rPr>
                <w:rFonts w:cstheme="minorHAnsi"/>
                <w:sz w:val="18"/>
                <w:szCs w:val="18"/>
              </w:rPr>
              <w:t>1.</w:t>
            </w:r>
            <w:r>
              <w:rPr>
                <w:rFonts w:cstheme="minorHAnsi"/>
                <w:sz w:val="18"/>
                <w:szCs w:val="18"/>
              </w:rPr>
              <w:t xml:space="preserve"> </w:t>
            </w:r>
            <w:r w:rsidRPr="001F5612">
              <w:rPr>
                <w:rFonts w:cstheme="minorHAnsi"/>
                <w:sz w:val="18"/>
                <w:szCs w:val="18"/>
              </w:rPr>
              <w:t>K</w:t>
            </w:r>
            <w:r>
              <w:rPr>
                <w:rFonts w:cstheme="minorHAnsi"/>
                <w:sz w:val="18"/>
                <w:szCs w:val="18"/>
              </w:rPr>
              <w:t>ademe</w:t>
            </w:r>
          </w:p>
          <w:p w:rsidR="00215036" w:rsidRPr="001F5612" w:rsidRDefault="00215036" w:rsidP="00A57565">
            <w:pPr>
              <w:rPr>
                <w:rFonts w:cstheme="minorHAnsi"/>
                <w:sz w:val="18"/>
                <w:szCs w:val="18"/>
              </w:rPr>
            </w:pPr>
            <w:r>
              <w:rPr>
                <w:rFonts w:cstheme="minorHAnsi"/>
                <w:sz w:val="18"/>
                <w:szCs w:val="18"/>
              </w:rPr>
              <w:t xml:space="preserve">(Tic. </w:t>
            </w:r>
            <w:r w:rsidRPr="001F5612">
              <w:rPr>
                <w:rFonts w:cstheme="minorHAnsi"/>
                <w:sz w:val="18"/>
                <w:szCs w:val="18"/>
              </w:rPr>
              <w:t>İ</w:t>
            </w:r>
            <w:r>
              <w:rPr>
                <w:rFonts w:cstheme="minorHAnsi"/>
                <w:sz w:val="18"/>
                <w:szCs w:val="18"/>
              </w:rPr>
              <w:t>şl.</w:t>
            </w:r>
            <w:r w:rsidRPr="001F5612">
              <w:rPr>
                <w:rFonts w:cstheme="minorHAnsi"/>
                <w:sz w:val="18"/>
                <w:szCs w:val="18"/>
              </w:rPr>
              <w:t xml:space="preserve"> </w:t>
            </w:r>
            <w:r>
              <w:rPr>
                <w:rFonts w:cstheme="minorHAnsi"/>
                <w:sz w:val="18"/>
                <w:szCs w:val="18"/>
              </w:rPr>
              <w:t xml:space="preserve">ve </w:t>
            </w:r>
            <w:r w:rsidRPr="001F5612">
              <w:rPr>
                <w:rFonts w:cstheme="minorHAnsi"/>
                <w:sz w:val="18"/>
                <w:szCs w:val="18"/>
              </w:rPr>
              <w:t>K.</w:t>
            </w:r>
            <w:r>
              <w:rPr>
                <w:rFonts w:cstheme="minorHAnsi"/>
                <w:sz w:val="18"/>
                <w:szCs w:val="18"/>
              </w:rPr>
              <w:t xml:space="preserve"> </w:t>
            </w:r>
            <w:r w:rsidRPr="001F5612">
              <w:rPr>
                <w:rFonts w:cstheme="minorHAnsi"/>
                <w:sz w:val="18"/>
                <w:szCs w:val="18"/>
              </w:rPr>
              <w:t>S</w:t>
            </w:r>
            <w:r>
              <w:rPr>
                <w:rFonts w:cstheme="minorHAnsi"/>
                <w:sz w:val="18"/>
                <w:szCs w:val="18"/>
              </w:rPr>
              <w:t>an</w:t>
            </w: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1,488094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2,232141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2,232141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2,232141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3,348212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50</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125</w:t>
            </w:r>
          </w:p>
        </w:tc>
      </w:tr>
      <w:tr w:rsidR="005E5E49" w:rsidRPr="001F5612" w:rsidTr="005E5E49">
        <w:trPr>
          <w:trHeight w:val="309"/>
        </w:trPr>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hideMark/>
          </w:tcPr>
          <w:p w:rsidR="00215036" w:rsidRPr="001F5612" w:rsidRDefault="00215036" w:rsidP="00A57565">
            <w:pPr>
              <w:rPr>
                <w:rFonts w:cstheme="minorHAnsi"/>
                <w:sz w:val="18"/>
                <w:szCs w:val="18"/>
              </w:rPr>
            </w:pPr>
            <w:r w:rsidRPr="001F5612">
              <w:rPr>
                <w:rFonts w:cstheme="minorHAnsi"/>
                <w:sz w:val="18"/>
                <w:szCs w:val="18"/>
              </w:rPr>
              <w:t>2.</w:t>
            </w:r>
            <w:r>
              <w:rPr>
                <w:rFonts w:cstheme="minorHAnsi"/>
                <w:sz w:val="18"/>
                <w:szCs w:val="18"/>
              </w:rPr>
              <w:t xml:space="preserve"> </w:t>
            </w:r>
            <w:r w:rsidRPr="001F5612">
              <w:rPr>
                <w:rFonts w:cstheme="minorHAnsi"/>
                <w:sz w:val="18"/>
                <w:szCs w:val="18"/>
              </w:rPr>
              <w:t>K</w:t>
            </w:r>
            <w:r>
              <w:rPr>
                <w:rFonts w:cstheme="minorHAnsi"/>
                <w:sz w:val="18"/>
                <w:szCs w:val="18"/>
              </w:rPr>
              <w:t>ademe</w:t>
            </w:r>
          </w:p>
          <w:p w:rsidR="00215036" w:rsidRPr="001F5612" w:rsidRDefault="00215036" w:rsidP="00A57565">
            <w:pPr>
              <w:rPr>
                <w:rFonts w:cstheme="minorHAnsi"/>
                <w:sz w:val="18"/>
                <w:szCs w:val="18"/>
              </w:rPr>
            </w:pPr>
            <w:r w:rsidRPr="001F5612">
              <w:rPr>
                <w:rFonts w:cstheme="minorHAnsi"/>
                <w:sz w:val="18"/>
                <w:szCs w:val="18"/>
              </w:rPr>
              <w:t>(B.</w:t>
            </w:r>
            <w:r>
              <w:rPr>
                <w:rFonts w:cstheme="minorHAnsi"/>
                <w:sz w:val="18"/>
                <w:szCs w:val="18"/>
              </w:rPr>
              <w:t xml:space="preserve"> </w:t>
            </w:r>
            <w:r w:rsidRPr="001F5612">
              <w:rPr>
                <w:rFonts w:cstheme="minorHAnsi"/>
                <w:sz w:val="18"/>
                <w:szCs w:val="18"/>
              </w:rPr>
              <w:t>S</w:t>
            </w:r>
            <w:r>
              <w:rPr>
                <w:rFonts w:cstheme="minorHAnsi"/>
                <w:sz w:val="18"/>
                <w:szCs w:val="18"/>
              </w:rPr>
              <w:t>an</w:t>
            </w:r>
            <w:r w:rsidRPr="001F5612">
              <w:rPr>
                <w:rFonts w:cstheme="minorHAnsi"/>
                <w:sz w:val="18"/>
                <w:szCs w:val="18"/>
              </w:rPr>
              <w:t>.</w:t>
            </w:r>
            <w:r>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4,20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6,30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6,30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6,30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9,45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50</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125</w:t>
            </w:r>
          </w:p>
        </w:tc>
      </w:tr>
      <w:tr w:rsidR="005E5E49" w:rsidRPr="001F5612" w:rsidTr="005E5E49">
        <w:trPr>
          <w:trHeight w:val="414"/>
        </w:trPr>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hideMark/>
          </w:tcPr>
          <w:p w:rsidR="00215036" w:rsidRPr="001F5612" w:rsidRDefault="00215036" w:rsidP="00A57565">
            <w:pPr>
              <w:rPr>
                <w:rFonts w:cstheme="minorHAnsi"/>
                <w:sz w:val="18"/>
                <w:szCs w:val="18"/>
              </w:rPr>
            </w:pPr>
            <w:r w:rsidRPr="001F5612">
              <w:rPr>
                <w:rFonts w:cstheme="minorHAnsi"/>
                <w:sz w:val="18"/>
                <w:szCs w:val="18"/>
              </w:rPr>
              <w:t>Elektrik</w:t>
            </w:r>
            <w:r>
              <w:rPr>
                <w:rFonts w:cstheme="minorHAnsi"/>
                <w:sz w:val="18"/>
                <w:szCs w:val="18"/>
              </w:rPr>
              <w:t xml:space="preserve"> </w:t>
            </w:r>
            <w:r w:rsidRPr="001F5612">
              <w:rPr>
                <w:rFonts w:cstheme="minorHAnsi"/>
                <w:sz w:val="18"/>
                <w:szCs w:val="18"/>
              </w:rPr>
              <w:t>Üretimi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4,80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5.52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6,30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7,45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18,3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10,75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44,3</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rsidR="00215036" w:rsidRPr="001F5612" w:rsidRDefault="00215036" w:rsidP="00A57565">
            <w:pPr>
              <w:jc w:val="center"/>
              <w:rPr>
                <w:rFonts w:cstheme="minorHAnsi"/>
                <w:sz w:val="18"/>
                <w:szCs w:val="18"/>
              </w:rPr>
            </w:pPr>
            <w:r w:rsidRPr="001F5612">
              <w:rPr>
                <w:rFonts w:cstheme="minorHAnsi"/>
                <w:sz w:val="18"/>
                <w:szCs w:val="18"/>
              </w:rPr>
              <w:t>124</w:t>
            </w:r>
          </w:p>
        </w:tc>
      </w:tr>
    </w:tbl>
    <w:p w:rsidR="00215036" w:rsidRDefault="00215036" w:rsidP="00381CA3">
      <w:pPr>
        <w:spacing w:before="360" w:line="240" w:lineRule="atLeast"/>
        <w:jc w:val="center"/>
        <w:rPr>
          <w:b/>
          <w:bCs/>
        </w:rPr>
      </w:pPr>
      <w:r w:rsidRPr="00FE48C9">
        <w:rPr>
          <w:b/>
          <w:bCs/>
        </w:rPr>
        <w:t xml:space="preserve">Ankara’da Hane Halkı </w:t>
      </w:r>
      <w:r>
        <w:rPr>
          <w:b/>
          <w:bCs/>
        </w:rPr>
        <w:t>Aylık Ortalama Elektrik, Doğalg</w:t>
      </w:r>
      <w:r w:rsidRPr="00FE48C9">
        <w:rPr>
          <w:b/>
          <w:bCs/>
        </w:rPr>
        <w:t xml:space="preserve">az ve Su Harcamaları </w:t>
      </w:r>
    </w:p>
    <w:p w:rsidR="00215036" w:rsidRPr="00FE48C9" w:rsidRDefault="00215036" w:rsidP="00215036">
      <w:pPr>
        <w:spacing w:line="240" w:lineRule="atLeast"/>
        <w:jc w:val="center"/>
      </w:pPr>
      <w:r w:rsidRPr="00FE48C9">
        <w:rPr>
          <w:b/>
          <w:bCs/>
        </w:rPr>
        <w:t>(Nisan 2022 Fiyatlarıyla)</w:t>
      </w:r>
    </w:p>
    <w:tbl>
      <w:tblPr>
        <w:tblW w:w="6229" w:type="dxa"/>
        <w:jc w:val="center"/>
        <w:tblInd w:w="268" w:type="dxa"/>
        <w:tblCellMar>
          <w:left w:w="0" w:type="dxa"/>
          <w:right w:w="0" w:type="dxa"/>
        </w:tblCellMar>
        <w:tblLook w:val="0600"/>
      </w:tblPr>
      <w:tblGrid>
        <w:gridCol w:w="1877"/>
        <w:gridCol w:w="1517"/>
        <w:gridCol w:w="1559"/>
        <w:gridCol w:w="1276"/>
      </w:tblGrid>
      <w:tr w:rsidR="00215036" w:rsidRPr="0070504D" w:rsidTr="00E116E3">
        <w:trPr>
          <w:trHeight w:val="20"/>
          <w:jc w:val="center"/>
        </w:trPr>
        <w:tc>
          <w:tcPr>
            <w:tcW w:w="1877"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260" w:lineRule="atLeast"/>
              <w:jc w:val="both"/>
              <w:rPr>
                <w:sz w:val="18"/>
                <w:szCs w:val="18"/>
              </w:rPr>
            </w:pPr>
            <w:r w:rsidRPr="0070504D">
              <w:rPr>
                <w:b/>
                <w:bCs/>
                <w:sz w:val="18"/>
                <w:szCs w:val="18"/>
              </w:rPr>
              <w:t>Harcama Türü</w:t>
            </w:r>
          </w:p>
        </w:tc>
        <w:tc>
          <w:tcPr>
            <w:tcW w:w="1517"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Aylık Ortalama</w:t>
            </w:r>
          </w:p>
          <w:p w:rsidR="00215036" w:rsidRPr="0070504D" w:rsidRDefault="00215036" w:rsidP="00A57565">
            <w:pPr>
              <w:spacing w:line="260" w:lineRule="atLeast"/>
              <w:jc w:val="center"/>
              <w:rPr>
                <w:sz w:val="18"/>
                <w:szCs w:val="18"/>
              </w:rPr>
            </w:pPr>
            <w:r w:rsidRPr="0070504D">
              <w:rPr>
                <w:b/>
                <w:bCs/>
                <w:sz w:val="18"/>
                <w:szCs w:val="18"/>
              </w:rPr>
              <w:t>Tüketim</w:t>
            </w:r>
          </w:p>
        </w:tc>
        <w:tc>
          <w:tcPr>
            <w:tcW w:w="1559"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Birim Fiyat</w:t>
            </w:r>
          </w:p>
        </w:tc>
        <w:tc>
          <w:tcPr>
            <w:tcW w:w="1276"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Tutarı</w:t>
            </w:r>
          </w:p>
          <w:p w:rsidR="00215036" w:rsidRPr="0070504D" w:rsidRDefault="00215036" w:rsidP="00A57565">
            <w:pPr>
              <w:spacing w:line="260" w:lineRule="atLeast"/>
              <w:jc w:val="center"/>
              <w:rPr>
                <w:sz w:val="18"/>
                <w:szCs w:val="18"/>
              </w:rPr>
            </w:pPr>
            <w:r w:rsidRPr="0070504D">
              <w:rPr>
                <w:b/>
                <w:bCs/>
                <w:sz w:val="18"/>
                <w:szCs w:val="18"/>
              </w:rPr>
              <w:t>(TL)</w:t>
            </w:r>
          </w:p>
        </w:tc>
      </w:tr>
      <w:tr w:rsidR="00215036" w:rsidRPr="0070504D" w:rsidTr="00E116E3">
        <w:trPr>
          <w:trHeight w:val="20"/>
          <w:jc w:val="center"/>
        </w:trPr>
        <w:tc>
          <w:tcPr>
            <w:tcW w:w="187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260" w:lineRule="atLeast"/>
              <w:jc w:val="both"/>
              <w:rPr>
                <w:sz w:val="18"/>
                <w:szCs w:val="18"/>
              </w:rPr>
            </w:pPr>
            <w:r w:rsidRPr="0070504D">
              <w:rPr>
                <w:b/>
                <w:bCs/>
                <w:sz w:val="18"/>
                <w:szCs w:val="18"/>
              </w:rPr>
              <w:t>Elektrik</w:t>
            </w:r>
          </w:p>
        </w:tc>
        <w:tc>
          <w:tcPr>
            <w:tcW w:w="151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240 kWh</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1,2569 TL/kWh</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301,66</w:t>
            </w:r>
          </w:p>
        </w:tc>
      </w:tr>
      <w:tr w:rsidR="00215036" w:rsidRPr="0070504D" w:rsidTr="00E116E3">
        <w:trPr>
          <w:trHeight w:val="20"/>
          <w:jc w:val="center"/>
        </w:trPr>
        <w:tc>
          <w:tcPr>
            <w:tcW w:w="1877"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260" w:lineRule="atLeast"/>
              <w:jc w:val="both"/>
              <w:rPr>
                <w:sz w:val="18"/>
                <w:szCs w:val="18"/>
              </w:rPr>
            </w:pPr>
            <w:r>
              <w:rPr>
                <w:b/>
                <w:bCs/>
                <w:sz w:val="18"/>
                <w:szCs w:val="18"/>
              </w:rPr>
              <w:t>Doğalg</w:t>
            </w:r>
            <w:r w:rsidRPr="0070504D">
              <w:rPr>
                <w:b/>
                <w:bCs/>
                <w:sz w:val="18"/>
                <w:szCs w:val="18"/>
              </w:rPr>
              <w:t>az</w:t>
            </w:r>
          </w:p>
        </w:tc>
        <w:tc>
          <w:tcPr>
            <w:tcW w:w="1517"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80 m</w:t>
            </w:r>
            <w:r w:rsidRPr="0070504D">
              <w:rPr>
                <w:b/>
                <w:bCs/>
                <w:sz w:val="18"/>
                <w:szCs w:val="18"/>
                <w:vertAlign w:val="superscript"/>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3,68 TL/m</w:t>
            </w:r>
            <w:r w:rsidRPr="0070504D">
              <w:rPr>
                <w:b/>
                <w:bCs/>
                <w:sz w:val="18"/>
                <w:szCs w:val="18"/>
                <w:vertAlign w:val="superscript"/>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294,40</w:t>
            </w:r>
          </w:p>
        </w:tc>
      </w:tr>
      <w:tr w:rsidR="00215036" w:rsidRPr="0070504D" w:rsidTr="00E116E3">
        <w:trPr>
          <w:trHeight w:val="20"/>
          <w:jc w:val="center"/>
        </w:trPr>
        <w:tc>
          <w:tcPr>
            <w:tcW w:w="1877"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260" w:lineRule="atLeast"/>
              <w:jc w:val="both"/>
              <w:rPr>
                <w:sz w:val="18"/>
                <w:szCs w:val="18"/>
              </w:rPr>
            </w:pPr>
            <w:r w:rsidRPr="0070504D">
              <w:rPr>
                <w:b/>
                <w:bCs/>
                <w:sz w:val="18"/>
                <w:szCs w:val="18"/>
              </w:rPr>
              <w:t>Su</w:t>
            </w:r>
          </w:p>
        </w:tc>
        <w:tc>
          <w:tcPr>
            <w:tcW w:w="1517"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15 m</w:t>
            </w:r>
            <w:r w:rsidRPr="0070504D">
              <w:rPr>
                <w:b/>
                <w:bCs/>
                <w:sz w:val="18"/>
                <w:szCs w:val="18"/>
                <w:vertAlign w:val="superscript"/>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8,98 TL/m</w:t>
            </w:r>
            <w:r w:rsidRPr="0070504D">
              <w:rPr>
                <w:b/>
                <w:bCs/>
                <w:sz w:val="18"/>
                <w:szCs w:val="18"/>
                <w:vertAlign w:val="superscript"/>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134,70</w:t>
            </w:r>
          </w:p>
        </w:tc>
      </w:tr>
      <w:tr w:rsidR="00215036" w:rsidRPr="0070504D" w:rsidTr="00E116E3">
        <w:trPr>
          <w:trHeight w:val="20"/>
          <w:jc w:val="center"/>
        </w:trPr>
        <w:tc>
          <w:tcPr>
            <w:tcW w:w="187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260" w:lineRule="atLeast"/>
              <w:jc w:val="both"/>
              <w:rPr>
                <w:sz w:val="18"/>
                <w:szCs w:val="18"/>
              </w:rPr>
            </w:pPr>
            <w:r w:rsidRPr="0070504D">
              <w:rPr>
                <w:b/>
                <w:bCs/>
                <w:sz w:val="18"/>
                <w:szCs w:val="18"/>
              </w:rPr>
              <w:t>Telefon ve İnternet</w:t>
            </w:r>
          </w:p>
        </w:tc>
        <w:tc>
          <w:tcPr>
            <w:tcW w:w="151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311,00</w:t>
            </w:r>
          </w:p>
        </w:tc>
      </w:tr>
      <w:tr w:rsidR="00215036" w:rsidRPr="0070504D" w:rsidTr="00E116E3">
        <w:trPr>
          <w:trHeight w:val="20"/>
          <w:jc w:val="center"/>
        </w:trPr>
        <w:tc>
          <w:tcPr>
            <w:tcW w:w="1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15036" w:rsidRPr="0070504D" w:rsidRDefault="00215036" w:rsidP="00A57565">
            <w:pPr>
              <w:spacing w:line="260" w:lineRule="atLeast"/>
              <w:jc w:val="both"/>
              <w:rPr>
                <w:sz w:val="18"/>
                <w:szCs w:val="18"/>
              </w:rPr>
            </w:pPr>
            <w:r w:rsidRPr="0070504D">
              <w:rPr>
                <w:b/>
                <w:bCs/>
                <w:sz w:val="18"/>
                <w:szCs w:val="18"/>
              </w:rPr>
              <w:t>TOPLAM</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15036" w:rsidRPr="0070504D" w:rsidRDefault="00215036" w:rsidP="00A57565">
            <w:pPr>
              <w:spacing w:line="260" w:lineRule="atLeast"/>
              <w:jc w:val="center"/>
              <w:rPr>
                <w:sz w:val="18"/>
                <w:szCs w:val="18"/>
              </w:rPr>
            </w:pPr>
            <w:r w:rsidRPr="0070504D">
              <w:rPr>
                <w:b/>
                <w:bCs/>
                <w:sz w:val="18"/>
                <w:szCs w:val="18"/>
              </w:rPr>
              <w:t>1.041,76</w:t>
            </w:r>
          </w:p>
        </w:tc>
      </w:tr>
    </w:tbl>
    <w:p w:rsidR="00215036" w:rsidRPr="00215036" w:rsidRDefault="00215036" w:rsidP="00381CA3">
      <w:pPr>
        <w:spacing w:before="120"/>
        <w:ind w:left="720" w:firstLine="720"/>
        <w:jc w:val="both"/>
      </w:pPr>
      <w:r w:rsidRPr="00215036">
        <w:t>Aylık harcamaların (4.253,40 TL olan) asgari ücrete oranı: % 24,5</w:t>
      </w:r>
      <w:r w:rsidR="005E5E49">
        <w:t>.</w:t>
      </w:r>
    </w:p>
    <w:p w:rsidR="00215036" w:rsidRDefault="00215036" w:rsidP="00381CA3">
      <w:pPr>
        <w:spacing w:before="360" w:line="240" w:lineRule="atLeast"/>
        <w:jc w:val="center"/>
        <w:rPr>
          <w:b/>
          <w:bCs/>
        </w:rPr>
      </w:pPr>
      <w:r w:rsidRPr="00FE48C9">
        <w:rPr>
          <w:b/>
          <w:bCs/>
        </w:rPr>
        <w:t xml:space="preserve">İstanbul’da Hane Halkı </w:t>
      </w:r>
      <w:r>
        <w:rPr>
          <w:b/>
          <w:bCs/>
        </w:rPr>
        <w:t>Aylık Ortalama Elektrik, Doğalg</w:t>
      </w:r>
      <w:r w:rsidRPr="00FE48C9">
        <w:rPr>
          <w:b/>
          <w:bCs/>
        </w:rPr>
        <w:t xml:space="preserve">az ve Su Harcamaları </w:t>
      </w:r>
    </w:p>
    <w:p w:rsidR="00215036" w:rsidRPr="00FE48C9" w:rsidRDefault="00215036" w:rsidP="00215036">
      <w:pPr>
        <w:spacing w:line="240" w:lineRule="atLeast"/>
        <w:jc w:val="center"/>
        <w:rPr>
          <w:b/>
          <w:bCs/>
        </w:rPr>
      </w:pPr>
      <w:r w:rsidRPr="00FE48C9">
        <w:rPr>
          <w:b/>
          <w:bCs/>
        </w:rPr>
        <w:t>(Nisan 2022 Fiyatlarıyla)</w:t>
      </w:r>
    </w:p>
    <w:tbl>
      <w:tblPr>
        <w:tblW w:w="6237" w:type="dxa"/>
        <w:tblInd w:w="1526" w:type="dxa"/>
        <w:tblLayout w:type="fixed"/>
        <w:tblCellMar>
          <w:left w:w="0" w:type="dxa"/>
          <w:right w:w="0" w:type="dxa"/>
        </w:tblCellMar>
        <w:tblLook w:val="0600"/>
      </w:tblPr>
      <w:tblGrid>
        <w:gridCol w:w="1843"/>
        <w:gridCol w:w="1559"/>
        <w:gridCol w:w="1559"/>
        <w:gridCol w:w="1276"/>
      </w:tblGrid>
      <w:tr w:rsidR="00215036" w:rsidRPr="0070504D" w:rsidTr="00E116E3">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300" w:lineRule="atLeast"/>
              <w:jc w:val="both"/>
              <w:rPr>
                <w:sz w:val="18"/>
                <w:szCs w:val="18"/>
              </w:rPr>
            </w:pPr>
            <w:r w:rsidRPr="0070504D">
              <w:rPr>
                <w:b/>
                <w:bCs/>
                <w:sz w:val="18"/>
                <w:szCs w:val="18"/>
              </w:rPr>
              <w:t>Harcama Türü</w:t>
            </w:r>
          </w:p>
        </w:tc>
        <w:tc>
          <w:tcPr>
            <w:tcW w:w="1559"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Aylık Ortalama</w:t>
            </w:r>
          </w:p>
          <w:p w:rsidR="00215036" w:rsidRPr="0070504D" w:rsidRDefault="00215036" w:rsidP="00A57565">
            <w:pPr>
              <w:spacing w:line="300" w:lineRule="atLeast"/>
              <w:jc w:val="center"/>
              <w:rPr>
                <w:sz w:val="18"/>
                <w:szCs w:val="18"/>
              </w:rPr>
            </w:pPr>
            <w:r w:rsidRPr="0070504D">
              <w:rPr>
                <w:b/>
                <w:bCs/>
                <w:sz w:val="18"/>
                <w:szCs w:val="18"/>
              </w:rPr>
              <w:t>Tüketim</w:t>
            </w:r>
          </w:p>
        </w:tc>
        <w:tc>
          <w:tcPr>
            <w:tcW w:w="1559"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Birim Fiyat</w:t>
            </w:r>
          </w:p>
        </w:tc>
        <w:tc>
          <w:tcPr>
            <w:tcW w:w="1276" w:type="dxa"/>
            <w:tcBorders>
              <w:top w:val="single" w:sz="8" w:space="0" w:color="000000"/>
              <w:left w:val="single" w:sz="8" w:space="0" w:color="000000"/>
              <w:bottom w:val="single" w:sz="8" w:space="0" w:color="000000"/>
              <w:right w:val="single" w:sz="8" w:space="0" w:color="000000"/>
            </w:tcBorders>
            <w:shd w:val="clear" w:color="auto" w:fill="000099"/>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Tutarı</w:t>
            </w:r>
          </w:p>
          <w:p w:rsidR="00215036" w:rsidRPr="0070504D" w:rsidRDefault="00215036" w:rsidP="00A57565">
            <w:pPr>
              <w:spacing w:line="300" w:lineRule="atLeast"/>
              <w:jc w:val="center"/>
              <w:rPr>
                <w:sz w:val="18"/>
                <w:szCs w:val="18"/>
              </w:rPr>
            </w:pPr>
            <w:r w:rsidRPr="0070504D">
              <w:rPr>
                <w:b/>
                <w:bCs/>
                <w:sz w:val="18"/>
                <w:szCs w:val="18"/>
              </w:rPr>
              <w:t>(TL)</w:t>
            </w:r>
          </w:p>
        </w:tc>
      </w:tr>
      <w:tr w:rsidR="00215036" w:rsidRPr="0070504D" w:rsidTr="00E116E3">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300" w:lineRule="atLeast"/>
              <w:jc w:val="both"/>
              <w:rPr>
                <w:sz w:val="18"/>
                <w:szCs w:val="18"/>
              </w:rPr>
            </w:pPr>
            <w:r w:rsidRPr="0070504D">
              <w:rPr>
                <w:b/>
                <w:bCs/>
                <w:sz w:val="18"/>
                <w:szCs w:val="18"/>
              </w:rPr>
              <w:t>Elektrik</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240 kWh</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1,2569 TL/kWh</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301,66</w:t>
            </w:r>
          </w:p>
        </w:tc>
      </w:tr>
      <w:tr w:rsidR="00215036" w:rsidRPr="0070504D" w:rsidTr="00E116E3">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300" w:lineRule="atLeast"/>
              <w:jc w:val="both"/>
              <w:rPr>
                <w:sz w:val="18"/>
                <w:szCs w:val="18"/>
              </w:rPr>
            </w:pPr>
            <w:r>
              <w:rPr>
                <w:b/>
                <w:bCs/>
                <w:sz w:val="18"/>
                <w:szCs w:val="18"/>
              </w:rPr>
              <w:t>Doğalg</w:t>
            </w:r>
            <w:r w:rsidRPr="0070504D">
              <w:rPr>
                <w:b/>
                <w:bCs/>
                <w:sz w:val="18"/>
                <w:szCs w:val="18"/>
              </w:rPr>
              <w:t>az</w:t>
            </w:r>
          </w:p>
        </w:tc>
        <w:tc>
          <w:tcPr>
            <w:tcW w:w="1559"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73 m</w:t>
            </w:r>
            <w:r w:rsidRPr="0070504D">
              <w:rPr>
                <w:b/>
                <w:bCs/>
                <w:sz w:val="18"/>
                <w:szCs w:val="18"/>
                <w:vertAlign w:val="superscript"/>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3,78 TL/m</w:t>
            </w:r>
            <w:r w:rsidRPr="0070504D">
              <w:rPr>
                <w:b/>
                <w:bCs/>
                <w:sz w:val="18"/>
                <w:szCs w:val="18"/>
                <w:vertAlign w:val="superscript"/>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E6B9B8"/>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275,94</w:t>
            </w:r>
          </w:p>
        </w:tc>
      </w:tr>
      <w:tr w:rsidR="00215036" w:rsidRPr="0070504D" w:rsidTr="00E116E3">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300" w:lineRule="atLeast"/>
              <w:jc w:val="both"/>
              <w:rPr>
                <w:sz w:val="18"/>
                <w:szCs w:val="18"/>
              </w:rPr>
            </w:pPr>
            <w:r w:rsidRPr="0070504D">
              <w:rPr>
                <w:b/>
                <w:bCs/>
                <w:sz w:val="18"/>
                <w:szCs w:val="18"/>
              </w:rPr>
              <w:t>Su</w:t>
            </w:r>
          </w:p>
        </w:tc>
        <w:tc>
          <w:tcPr>
            <w:tcW w:w="1559"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15 m</w:t>
            </w:r>
            <w:r w:rsidRPr="0070504D">
              <w:rPr>
                <w:b/>
                <w:bCs/>
                <w:sz w:val="18"/>
                <w:szCs w:val="18"/>
                <w:vertAlign w:val="superscript"/>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7.62 TL/m</w:t>
            </w:r>
            <w:r w:rsidRPr="0070504D">
              <w:rPr>
                <w:b/>
                <w:bCs/>
                <w:sz w:val="18"/>
                <w:szCs w:val="18"/>
                <w:vertAlign w:val="superscript"/>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99FF99"/>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114,30</w:t>
            </w:r>
          </w:p>
        </w:tc>
      </w:tr>
      <w:tr w:rsidR="00215036" w:rsidRPr="0070504D" w:rsidTr="00E116E3">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300" w:lineRule="atLeast"/>
              <w:jc w:val="both"/>
              <w:rPr>
                <w:sz w:val="18"/>
                <w:szCs w:val="18"/>
              </w:rPr>
            </w:pPr>
            <w:r w:rsidRPr="0070504D">
              <w:rPr>
                <w:b/>
                <w:bCs/>
                <w:sz w:val="18"/>
                <w:szCs w:val="18"/>
              </w:rPr>
              <w:t>Telefon ve İnternet</w:t>
            </w:r>
          </w:p>
        </w:tc>
        <w:tc>
          <w:tcPr>
            <w:tcW w:w="155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311,00</w:t>
            </w:r>
          </w:p>
        </w:tc>
      </w:tr>
      <w:tr w:rsidR="00215036" w:rsidRPr="0070504D" w:rsidTr="00E116E3">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15036" w:rsidRPr="0070504D" w:rsidRDefault="00215036" w:rsidP="00A57565">
            <w:pPr>
              <w:spacing w:line="300" w:lineRule="atLeast"/>
              <w:jc w:val="both"/>
              <w:rPr>
                <w:sz w:val="18"/>
                <w:szCs w:val="18"/>
              </w:rPr>
            </w:pPr>
            <w:r w:rsidRPr="0070504D">
              <w:rPr>
                <w:b/>
                <w:bCs/>
                <w:sz w:val="18"/>
                <w:szCs w:val="18"/>
              </w:rPr>
              <w:t>TOPLAM</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15036" w:rsidRPr="0070504D" w:rsidRDefault="00215036" w:rsidP="00A57565">
            <w:pPr>
              <w:spacing w:line="300" w:lineRule="atLeast"/>
              <w:jc w:val="center"/>
              <w:rPr>
                <w:sz w:val="18"/>
                <w:szCs w:val="18"/>
              </w:rPr>
            </w:pPr>
            <w:r w:rsidRPr="0070504D">
              <w:rPr>
                <w:b/>
                <w:bCs/>
                <w:sz w:val="18"/>
                <w:szCs w:val="18"/>
              </w:rPr>
              <w:t>1</w:t>
            </w:r>
            <w:r w:rsidR="00E116E3">
              <w:rPr>
                <w:b/>
                <w:bCs/>
                <w:sz w:val="18"/>
                <w:szCs w:val="18"/>
              </w:rPr>
              <w:t>.</w:t>
            </w:r>
            <w:r w:rsidRPr="0070504D">
              <w:rPr>
                <w:b/>
                <w:bCs/>
                <w:sz w:val="18"/>
                <w:szCs w:val="18"/>
              </w:rPr>
              <w:t>002,90</w:t>
            </w:r>
          </w:p>
        </w:tc>
      </w:tr>
    </w:tbl>
    <w:p w:rsidR="00215036" w:rsidRPr="005E5E49" w:rsidRDefault="00215036" w:rsidP="00381CA3">
      <w:pPr>
        <w:spacing w:before="120"/>
        <w:ind w:left="720" w:firstLine="720"/>
        <w:jc w:val="both"/>
      </w:pPr>
      <w:r w:rsidRPr="00215036">
        <w:rPr>
          <w:bCs/>
        </w:rPr>
        <w:t>Aylık harcamaların (4.253,40 TL olan) asgari ücrete oranı: % 23,6</w:t>
      </w:r>
      <w:r w:rsidR="005E5E49">
        <w:rPr>
          <w:bCs/>
        </w:rPr>
        <w:t>.</w:t>
      </w:r>
    </w:p>
    <w:sectPr w:rsidR="00215036" w:rsidRPr="005E5E49" w:rsidSect="00FF4492">
      <w:headerReference w:type="default" r:id="rId13"/>
      <w:footerReference w:type="even" r:id="rId14"/>
      <w:footerReference w:type="default" r:id="rId15"/>
      <w:pgSz w:w="11907" w:h="16840" w:code="9"/>
      <w:pgMar w:top="851" w:right="1418" w:bottom="851" w:left="1418" w:header="83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69" w:rsidRDefault="00BE0069">
      <w:r>
        <w:separator/>
      </w:r>
    </w:p>
  </w:endnote>
  <w:endnote w:type="continuationSeparator" w:id="0">
    <w:p w:rsidR="00BE0069" w:rsidRDefault="00BE006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67" w:rsidRDefault="00EA728D" w:rsidP="00D7492F">
    <w:pPr>
      <w:pStyle w:val="Altbilgi"/>
      <w:framePr w:wrap="around" w:vAnchor="text" w:hAnchor="margin" w:xAlign="right" w:y="1"/>
      <w:rPr>
        <w:rStyle w:val="SayfaNumaras"/>
      </w:rPr>
    </w:pPr>
    <w:r>
      <w:rPr>
        <w:rStyle w:val="SayfaNumaras"/>
      </w:rPr>
      <w:fldChar w:fldCharType="begin"/>
    </w:r>
    <w:r w:rsidR="00AC3367">
      <w:rPr>
        <w:rStyle w:val="SayfaNumaras"/>
      </w:rPr>
      <w:instrText xml:space="preserve">PAGE  </w:instrText>
    </w:r>
    <w:r>
      <w:rPr>
        <w:rStyle w:val="SayfaNumaras"/>
      </w:rPr>
      <w:fldChar w:fldCharType="end"/>
    </w:r>
  </w:p>
  <w:p w:rsidR="00AC3367" w:rsidRDefault="00AC3367" w:rsidP="00AC336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2F" w:rsidRDefault="00D7492F" w:rsidP="00D44D92">
    <w:pPr>
      <w:pStyle w:val="Altbilgi"/>
      <w:framePr w:wrap="around" w:vAnchor="text" w:hAnchor="margin" w:xAlign="right" w:y="1"/>
      <w:rPr>
        <w:rStyle w:val="SayfaNumaras"/>
      </w:rPr>
    </w:pPr>
  </w:p>
  <w:p w:rsidR="005B52BF" w:rsidRDefault="005B52BF" w:rsidP="00AC3367">
    <w:pPr>
      <w:pStyle w:val="Altbilgi"/>
      <w:ind w:right="360"/>
    </w:pPr>
  </w:p>
  <w:p w:rsidR="005B52BF" w:rsidRDefault="005B52B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69" w:rsidRDefault="00BE0069">
      <w:r>
        <w:separator/>
      </w:r>
    </w:p>
  </w:footnote>
  <w:footnote w:type="continuationSeparator" w:id="0">
    <w:p w:rsidR="00BE0069" w:rsidRDefault="00BE0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C0" w:rsidRDefault="00FE76C0" w:rsidP="00FE76C0">
    <w:pPr>
      <w:pStyle w:val="Altbilgi"/>
      <w:framePr w:w="8902" w:hSpace="181" w:vSpace="284" w:wrap="auto" w:vAnchor="page" w:hAnchor="page" w:x="1660" w:y="15681" w:anchorLock="1"/>
      <w:pBdr>
        <w:top w:val="single" w:sz="6" w:space="1" w:color="auto"/>
      </w:pBdr>
      <w:rPr>
        <w:sz w:val="16"/>
        <w:szCs w:val="16"/>
      </w:rPr>
    </w:pPr>
    <w:r w:rsidRPr="00CD04C3">
      <w:rPr>
        <w:sz w:val="16"/>
        <w:szCs w:val="16"/>
      </w:rPr>
      <w:t>TMMOB MAKİNA MÜHENDİSLERİ ODASI Anayasanın 135.</w:t>
    </w:r>
    <w:r>
      <w:rPr>
        <w:sz w:val="16"/>
        <w:szCs w:val="16"/>
      </w:rPr>
      <w:t xml:space="preserve"> </w:t>
    </w:r>
    <w:r w:rsidRPr="00CD04C3">
      <w:rPr>
        <w:sz w:val="16"/>
        <w:szCs w:val="16"/>
      </w:rPr>
      <w:t xml:space="preserve">maddesine dayanılarak çıkarılan 6235 sayılı yasaya göre kurulmuş </w:t>
    </w:r>
  </w:p>
  <w:p w:rsidR="00FE76C0" w:rsidRPr="00CD04C3" w:rsidRDefault="00FE76C0" w:rsidP="00FE76C0">
    <w:pPr>
      <w:pStyle w:val="Altbilgi"/>
      <w:framePr w:w="8902" w:hSpace="181" w:vSpace="284" w:wrap="auto" w:vAnchor="page" w:hAnchor="page" w:x="1660" w:y="15681" w:anchorLock="1"/>
      <w:pBdr>
        <w:top w:val="single" w:sz="6" w:space="1" w:color="auto"/>
      </w:pBdr>
      <w:rPr>
        <w:szCs w:val="16"/>
      </w:rPr>
    </w:pPr>
    <w:r w:rsidRPr="00CD04C3">
      <w:rPr>
        <w:sz w:val="16"/>
        <w:szCs w:val="16"/>
      </w:rPr>
      <w:t>kamu kurumu niteliğinde bir meslek kuruluşudur.</w:t>
    </w:r>
    <w:r>
      <w:rPr>
        <w:sz w:val="16"/>
        <w:szCs w:val="16"/>
      </w:rPr>
      <w:t xml:space="preserve"> </w:t>
    </w:r>
  </w:p>
  <w:p w:rsidR="005B52BF" w:rsidRPr="00EC4C5E" w:rsidRDefault="005B52BF" w:rsidP="005F7373">
    <w:pPr>
      <w:jc w:val="cent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89E"/>
    <w:multiLevelType w:val="hybridMultilevel"/>
    <w:tmpl w:val="01161606"/>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12756F4"/>
    <w:multiLevelType w:val="hybridMultilevel"/>
    <w:tmpl w:val="4D4A764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4169260F"/>
    <w:multiLevelType w:val="singleLevel"/>
    <w:tmpl w:val="041F000F"/>
    <w:lvl w:ilvl="0">
      <w:start w:val="1"/>
      <w:numFmt w:val="decimal"/>
      <w:lvlText w:val="%1."/>
      <w:lvlJc w:val="left"/>
      <w:pPr>
        <w:tabs>
          <w:tab w:val="num" w:pos="360"/>
        </w:tabs>
        <w:ind w:left="360" w:hanging="360"/>
      </w:pPr>
      <w:rPr>
        <w:rFonts w:hint="default"/>
      </w:rPr>
    </w:lvl>
  </w:abstractNum>
  <w:abstractNum w:abstractNumId="3">
    <w:nsid w:val="43543DE6"/>
    <w:multiLevelType w:val="hybridMultilevel"/>
    <w:tmpl w:val="C4BA9E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45965639"/>
    <w:multiLevelType w:val="hybridMultilevel"/>
    <w:tmpl w:val="CDF48FF8"/>
    <w:lvl w:ilvl="0" w:tplc="293431B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9F1D8E"/>
    <w:multiLevelType w:val="hybridMultilevel"/>
    <w:tmpl w:val="1256E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E4A0252"/>
    <w:multiLevelType w:val="hybridMultilevel"/>
    <w:tmpl w:val="493E61E0"/>
    <w:lvl w:ilvl="0" w:tplc="293431BE">
      <w:start w:val="1"/>
      <w:numFmt w:val="bullet"/>
      <w:lvlText w:val=""/>
      <w:lvlJc w:val="left"/>
      <w:pPr>
        <w:tabs>
          <w:tab w:val="num" w:pos="360"/>
        </w:tabs>
        <w:ind w:left="36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2023494"/>
    <w:multiLevelType w:val="hybridMultilevel"/>
    <w:tmpl w:val="CE4E26F0"/>
    <w:lvl w:ilvl="0" w:tplc="041F0001">
      <w:start w:val="1"/>
      <w:numFmt w:val="bullet"/>
      <w:lvlText w:val=""/>
      <w:lvlJc w:val="left"/>
      <w:pPr>
        <w:tabs>
          <w:tab w:val="num" w:pos="720"/>
        </w:tabs>
        <w:ind w:left="720" w:hanging="360"/>
      </w:pPr>
      <w:rPr>
        <w:rFonts w:ascii="Symbol" w:hAnsi="Symbol" w:hint="default"/>
      </w:rPr>
    </w:lvl>
    <w:lvl w:ilvl="1" w:tplc="4DC8582C">
      <w:numFmt w:val="bullet"/>
      <w:lvlText w:val="-"/>
      <w:lvlJc w:val="left"/>
      <w:pPr>
        <w:tabs>
          <w:tab w:val="num" w:pos="1440"/>
        </w:tabs>
        <w:ind w:left="1440" w:hanging="360"/>
      </w:pPr>
      <w:rPr>
        <w:rFonts w:ascii="Times New Roman" w:eastAsia="Times New Roman" w:hAnsi="Times New Roman" w:cs="Times New Roman" w:hint="default"/>
        <w:sz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3E44C9"/>
    <w:multiLevelType w:val="hybridMultilevel"/>
    <w:tmpl w:val="50BE092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9">
    <w:nsid w:val="6D4E291E"/>
    <w:multiLevelType w:val="hybridMultilevel"/>
    <w:tmpl w:val="60283C2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76432700"/>
    <w:multiLevelType w:val="hybridMultilevel"/>
    <w:tmpl w:val="ECB8F7EC"/>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78D266E7"/>
    <w:multiLevelType w:val="hybridMultilevel"/>
    <w:tmpl w:val="E2D004FA"/>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78E002E8"/>
    <w:multiLevelType w:val="hybridMultilevel"/>
    <w:tmpl w:val="49AC9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1"/>
  </w:num>
  <w:num w:numId="4">
    <w:abstractNumId w:val="9"/>
  </w:num>
  <w:num w:numId="5">
    <w:abstractNumId w:val="10"/>
  </w:num>
  <w:num w:numId="6">
    <w:abstractNumId w:val="3"/>
  </w:num>
  <w:num w:numId="7">
    <w:abstractNumId w:val="4"/>
  </w:num>
  <w:num w:numId="8">
    <w:abstractNumId w:val="6"/>
  </w:num>
  <w:num w:numId="9">
    <w:abstractNumId w:val="8"/>
  </w:num>
  <w:num w:numId="10">
    <w:abstractNumId w:val="7"/>
  </w:num>
  <w:num w:numId="11">
    <w:abstractNumId w:val="12"/>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2"/>
  </w:hdrShapeDefaults>
  <w:footnotePr>
    <w:footnote w:id="-1"/>
    <w:footnote w:id="0"/>
  </w:footnotePr>
  <w:endnotePr>
    <w:endnote w:id="-1"/>
    <w:endnote w:id="0"/>
  </w:endnotePr>
  <w:compat/>
  <w:rsids>
    <w:rsidRoot w:val="00AD401D"/>
    <w:rsid w:val="000029F4"/>
    <w:rsid w:val="00004B03"/>
    <w:rsid w:val="00005B2E"/>
    <w:rsid w:val="00006664"/>
    <w:rsid w:val="00007928"/>
    <w:rsid w:val="00010AA3"/>
    <w:rsid w:val="00016412"/>
    <w:rsid w:val="00024EBC"/>
    <w:rsid w:val="00030913"/>
    <w:rsid w:val="00031BFD"/>
    <w:rsid w:val="000335E8"/>
    <w:rsid w:val="00034C9F"/>
    <w:rsid w:val="000352B2"/>
    <w:rsid w:val="00045039"/>
    <w:rsid w:val="00046209"/>
    <w:rsid w:val="000549AF"/>
    <w:rsid w:val="00064A26"/>
    <w:rsid w:val="000662DE"/>
    <w:rsid w:val="00077D28"/>
    <w:rsid w:val="000807DA"/>
    <w:rsid w:val="00086C90"/>
    <w:rsid w:val="00090441"/>
    <w:rsid w:val="00093FE6"/>
    <w:rsid w:val="00094634"/>
    <w:rsid w:val="00096A06"/>
    <w:rsid w:val="000A2B7C"/>
    <w:rsid w:val="000A3430"/>
    <w:rsid w:val="000A67EA"/>
    <w:rsid w:val="000A75D7"/>
    <w:rsid w:val="000B0085"/>
    <w:rsid w:val="000B7581"/>
    <w:rsid w:val="000B7CE4"/>
    <w:rsid w:val="000C367D"/>
    <w:rsid w:val="000D3BD0"/>
    <w:rsid w:val="000E04EE"/>
    <w:rsid w:val="000E1A96"/>
    <w:rsid w:val="000E4006"/>
    <w:rsid w:val="00105222"/>
    <w:rsid w:val="00106327"/>
    <w:rsid w:val="00107FB8"/>
    <w:rsid w:val="00113D5A"/>
    <w:rsid w:val="00124424"/>
    <w:rsid w:val="00125B7B"/>
    <w:rsid w:val="001343E5"/>
    <w:rsid w:val="00136230"/>
    <w:rsid w:val="001522CC"/>
    <w:rsid w:val="001618F4"/>
    <w:rsid w:val="00164A74"/>
    <w:rsid w:val="00193BBB"/>
    <w:rsid w:val="00195FCE"/>
    <w:rsid w:val="001A1C8A"/>
    <w:rsid w:val="001A3BF1"/>
    <w:rsid w:val="001A73CB"/>
    <w:rsid w:val="001B6B10"/>
    <w:rsid w:val="001C7536"/>
    <w:rsid w:val="001C7ED1"/>
    <w:rsid w:val="001D5DE0"/>
    <w:rsid w:val="001D6CBC"/>
    <w:rsid w:val="001D7813"/>
    <w:rsid w:val="001E4E0D"/>
    <w:rsid w:val="001E5ED5"/>
    <w:rsid w:val="001E6EEB"/>
    <w:rsid w:val="001F0F08"/>
    <w:rsid w:val="00204BFC"/>
    <w:rsid w:val="00212FE9"/>
    <w:rsid w:val="00215036"/>
    <w:rsid w:val="002207D9"/>
    <w:rsid w:val="0022524A"/>
    <w:rsid w:val="00227D81"/>
    <w:rsid w:val="0023375F"/>
    <w:rsid w:val="0023406B"/>
    <w:rsid w:val="002351F0"/>
    <w:rsid w:val="00242E17"/>
    <w:rsid w:val="0024764B"/>
    <w:rsid w:val="0025192F"/>
    <w:rsid w:val="00253E54"/>
    <w:rsid w:val="0025462E"/>
    <w:rsid w:val="00256856"/>
    <w:rsid w:val="002726B8"/>
    <w:rsid w:val="002728CA"/>
    <w:rsid w:val="0027526E"/>
    <w:rsid w:val="0029091D"/>
    <w:rsid w:val="00297278"/>
    <w:rsid w:val="00297A83"/>
    <w:rsid w:val="002A36E6"/>
    <w:rsid w:val="002A3C06"/>
    <w:rsid w:val="002B0EEF"/>
    <w:rsid w:val="002B4244"/>
    <w:rsid w:val="002C0371"/>
    <w:rsid w:val="002C07E4"/>
    <w:rsid w:val="002C5503"/>
    <w:rsid w:val="002C7717"/>
    <w:rsid w:val="002D1866"/>
    <w:rsid w:val="002D66CB"/>
    <w:rsid w:val="002D7C7A"/>
    <w:rsid w:val="002E46A6"/>
    <w:rsid w:val="002F2CA5"/>
    <w:rsid w:val="002F392F"/>
    <w:rsid w:val="002F6644"/>
    <w:rsid w:val="00301354"/>
    <w:rsid w:val="00305D27"/>
    <w:rsid w:val="00310781"/>
    <w:rsid w:val="00310F61"/>
    <w:rsid w:val="0032155A"/>
    <w:rsid w:val="00334966"/>
    <w:rsid w:val="0035201C"/>
    <w:rsid w:val="00352A82"/>
    <w:rsid w:val="00357B11"/>
    <w:rsid w:val="00364243"/>
    <w:rsid w:val="00364B62"/>
    <w:rsid w:val="00374D53"/>
    <w:rsid w:val="00381CA3"/>
    <w:rsid w:val="00386D6E"/>
    <w:rsid w:val="003878BD"/>
    <w:rsid w:val="003915F0"/>
    <w:rsid w:val="003A190B"/>
    <w:rsid w:val="003A1E1E"/>
    <w:rsid w:val="003A6FDD"/>
    <w:rsid w:val="003C4490"/>
    <w:rsid w:val="003E7A69"/>
    <w:rsid w:val="003F30E6"/>
    <w:rsid w:val="003F4001"/>
    <w:rsid w:val="00400423"/>
    <w:rsid w:val="00403566"/>
    <w:rsid w:val="004116D9"/>
    <w:rsid w:val="00411A30"/>
    <w:rsid w:val="004127BA"/>
    <w:rsid w:val="00415CA0"/>
    <w:rsid w:val="00430889"/>
    <w:rsid w:val="004439DE"/>
    <w:rsid w:val="00443FCF"/>
    <w:rsid w:val="004443AD"/>
    <w:rsid w:val="00454287"/>
    <w:rsid w:val="00457718"/>
    <w:rsid w:val="00464D5D"/>
    <w:rsid w:val="00465363"/>
    <w:rsid w:val="00465453"/>
    <w:rsid w:val="004667B1"/>
    <w:rsid w:val="004744C0"/>
    <w:rsid w:val="0048169A"/>
    <w:rsid w:val="00485AF1"/>
    <w:rsid w:val="00493FEC"/>
    <w:rsid w:val="00496BBF"/>
    <w:rsid w:val="004A0DCF"/>
    <w:rsid w:val="004A76D3"/>
    <w:rsid w:val="004B0D61"/>
    <w:rsid w:val="004B7198"/>
    <w:rsid w:val="004B71F3"/>
    <w:rsid w:val="004D4178"/>
    <w:rsid w:val="004D78FC"/>
    <w:rsid w:val="004E37B2"/>
    <w:rsid w:val="004E6690"/>
    <w:rsid w:val="004F334D"/>
    <w:rsid w:val="004F5150"/>
    <w:rsid w:val="004F745B"/>
    <w:rsid w:val="004F7A9B"/>
    <w:rsid w:val="00503E8A"/>
    <w:rsid w:val="00503FF2"/>
    <w:rsid w:val="00504C0E"/>
    <w:rsid w:val="00507079"/>
    <w:rsid w:val="0052203F"/>
    <w:rsid w:val="00527350"/>
    <w:rsid w:val="005339EC"/>
    <w:rsid w:val="00541E43"/>
    <w:rsid w:val="00542C50"/>
    <w:rsid w:val="00544EBE"/>
    <w:rsid w:val="00547549"/>
    <w:rsid w:val="00553169"/>
    <w:rsid w:val="00555B9F"/>
    <w:rsid w:val="00560BDB"/>
    <w:rsid w:val="005610EB"/>
    <w:rsid w:val="00565551"/>
    <w:rsid w:val="00571BE5"/>
    <w:rsid w:val="00574ED7"/>
    <w:rsid w:val="005931D6"/>
    <w:rsid w:val="005A307F"/>
    <w:rsid w:val="005B5073"/>
    <w:rsid w:val="005B52BF"/>
    <w:rsid w:val="005C1A24"/>
    <w:rsid w:val="005C2A0F"/>
    <w:rsid w:val="005D2E68"/>
    <w:rsid w:val="005D5D94"/>
    <w:rsid w:val="005D68D0"/>
    <w:rsid w:val="005D7A1A"/>
    <w:rsid w:val="005E3345"/>
    <w:rsid w:val="005E5E49"/>
    <w:rsid w:val="005E5ED4"/>
    <w:rsid w:val="005F7373"/>
    <w:rsid w:val="00600535"/>
    <w:rsid w:val="006116E2"/>
    <w:rsid w:val="0062545E"/>
    <w:rsid w:val="00631305"/>
    <w:rsid w:val="006322E0"/>
    <w:rsid w:val="00633C25"/>
    <w:rsid w:val="00641946"/>
    <w:rsid w:val="006428F7"/>
    <w:rsid w:val="00645057"/>
    <w:rsid w:val="00653FFE"/>
    <w:rsid w:val="00654EA1"/>
    <w:rsid w:val="00661150"/>
    <w:rsid w:val="00661EA6"/>
    <w:rsid w:val="0066367F"/>
    <w:rsid w:val="00666461"/>
    <w:rsid w:val="006665C9"/>
    <w:rsid w:val="00672340"/>
    <w:rsid w:val="00672600"/>
    <w:rsid w:val="00673C55"/>
    <w:rsid w:val="00676719"/>
    <w:rsid w:val="00680B41"/>
    <w:rsid w:val="00681D40"/>
    <w:rsid w:val="00687963"/>
    <w:rsid w:val="00697812"/>
    <w:rsid w:val="006A1C85"/>
    <w:rsid w:val="006A6EE6"/>
    <w:rsid w:val="006A7E0F"/>
    <w:rsid w:val="006B0284"/>
    <w:rsid w:val="006B416C"/>
    <w:rsid w:val="006B5033"/>
    <w:rsid w:val="006B7D52"/>
    <w:rsid w:val="006C006C"/>
    <w:rsid w:val="006E4137"/>
    <w:rsid w:val="006E4C25"/>
    <w:rsid w:val="006F7E73"/>
    <w:rsid w:val="007009CE"/>
    <w:rsid w:val="00706460"/>
    <w:rsid w:val="0071380F"/>
    <w:rsid w:val="00722099"/>
    <w:rsid w:val="00724743"/>
    <w:rsid w:val="00726281"/>
    <w:rsid w:val="007351B5"/>
    <w:rsid w:val="007456B0"/>
    <w:rsid w:val="00752922"/>
    <w:rsid w:val="007533AB"/>
    <w:rsid w:val="007577B5"/>
    <w:rsid w:val="0077093E"/>
    <w:rsid w:val="00770C61"/>
    <w:rsid w:val="00773509"/>
    <w:rsid w:val="00776496"/>
    <w:rsid w:val="00776A81"/>
    <w:rsid w:val="00784FA9"/>
    <w:rsid w:val="00792EEB"/>
    <w:rsid w:val="00795350"/>
    <w:rsid w:val="00795660"/>
    <w:rsid w:val="007A5BAA"/>
    <w:rsid w:val="007B51D7"/>
    <w:rsid w:val="007C177C"/>
    <w:rsid w:val="007C48E8"/>
    <w:rsid w:val="007C5AEB"/>
    <w:rsid w:val="007D11B7"/>
    <w:rsid w:val="007D1BEC"/>
    <w:rsid w:val="007D4A0E"/>
    <w:rsid w:val="007D6E84"/>
    <w:rsid w:val="007D7B1F"/>
    <w:rsid w:val="007E2E46"/>
    <w:rsid w:val="007E3CF6"/>
    <w:rsid w:val="007F7F74"/>
    <w:rsid w:val="00802108"/>
    <w:rsid w:val="008106CC"/>
    <w:rsid w:val="00812DA6"/>
    <w:rsid w:val="00815B53"/>
    <w:rsid w:val="00824F14"/>
    <w:rsid w:val="00826558"/>
    <w:rsid w:val="008339DF"/>
    <w:rsid w:val="00842580"/>
    <w:rsid w:val="0085786F"/>
    <w:rsid w:val="0086154D"/>
    <w:rsid w:val="00861A7E"/>
    <w:rsid w:val="008636A5"/>
    <w:rsid w:val="00863B88"/>
    <w:rsid w:val="0087125F"/>
    <w:rsid w:val="008748EE"/>
    <w:rsid w:val="00876608"/>
    <w:rsid w:val="0087685B"/>
    <w:rsid w:val="00880629"/>
    <w:rsid w:val="00881603"/>
    <w:rsid w:val="00883585"/>
    <w:rsid w:val="00886CCF"/>
    <w:rsid w:val="008951C3"/>
    <w:rsid w:val="00895D99"/>
    <w:rsid w:val="008A3EF6"/>
    <w:rsid w:val="008A7DA1"/>
    <w:rsid w:val="008B455C"/>
    <w:rsid w:val="008B4EF6"/>
    <w:rsid w:val="008B6155"/>
    <w:rsid w:val="008B6C2E"/>
    <w:rsid w:val="008C31B3"/>
    <w:rsid w:val="008D2394"/>
    <w:rsid w:val="008D504C"/>
    <w:rsid w:val="008E2CF3"/>
    <w:rsid w:val="008E379B"/>
    <w:rsid w:val="008F0740"/>
    <w:rsid w:val="008F3798"/>
    <w:rsid w:val="00905EAB"/>
    <w:rsid w:val="0090636D"/>
    <w:rsid w:val="0090724E"/>
    <w:rsid w:val="0091396C"/>
    <w:rsid w:val="00916693"/>
    <w:rsid w:val="00916CD5"/>
    <w:rsid w:val="00922725"/>
    <w:rsid w:val="009313FF"/>
    <w:rsid w:val="00934180"/>
    <w:rsid w:val="00936E9A"/>
    <w:rsid w:val="00940E12"/>
    <w:rsid w:val="00947BED"/>
    <w:rsid w:val="0095104C"/>
    <w:rsid w:val="009518B3"/>
    <w:rsid w:val="00952E9A"/>
    <w:rsid w:val="0095432A"/>
    <w:rsid w:val="009545A8"/>
    <w:rsid w:val="009554C0"/>
    <w:rsid w:val="00961A2E"/>
    <w:rsid w:val="00966389"/>
    <w:rsid w:val="00966BD0"/>
    <w:rsid w:val="009711AE"/>
    <w:rsid w:val="009713D7"/>
    <w:rsid w:val="00973239"/>
    <w:rsid w:val="0097470E"/>
    <w:rsid w:val="0097610F"/>
    <w:rsid w:val="00986A23"/>
    <w:rsid w:val="009924AD"/>
    <w:rsid w:val="009A065C"/>
    <w:rsid w:val="009A227D"/>
    <w:rsid w:val="009B0FBF"/>
    <w:rsid w:val="009B691C"/>
    <w:rsid w:val="009B6C8B"/>
    <w:rsid w:val="009C0743"/>
    <w:rsid w:val="009C513B"/>
    <w:rsid w:val="009C6479"/>
    <w:rsid w:val="009D2EB1"/>
    <w:rsid w:val="009D4337"/>
    <w:rsid w:val="009E1E4A"/>
    <w:rsid w:val="009E745D"/>
    <w:rsid w:val="009F391F"/>
    <w:rsid w:val="009F400D"/>
    <w:rsid w:val="009F4517"/>
    <w:rsid w:val="009F5F93"/>
    <w:rsid w:val="00A02FAA"/>
    <w:rsid w:val="00A031AF"/>
    <w:rsid w:val="00A04D83"/>
    <w:rsid w:val="00A1303B"/>
    <w:rsid w:val="00A144C5"/>
    <w:rsid w:val="00A14E09"/>
    <w:rsid w:val="00A170DD"/>
    <w:rsid w:val="00A237A3"/>
    <w:rsid w:val="00A2723F"/>
    <w:rsid w:val="00A323FC"/>
    <w:rsid w:val="00A40B8A"/>
    <w:rsid w:val="00A43397"/>
    <w:rsid w:val="00A472F4"/>
    <w:rsid w:val="00A512E1"/>
    <w:rsid w:val="00A54D37"/>
    <w:rsid w:val="00A61812"/>
    <w:rsid w:val="00A80301"/>
    <w:rsid w:val="00A81113"/>
    <w:rsid w:val="00A82F03"/>
    <w:rsid w:val="00A85C67"/>
    <w:rsid w:val="00A90D04"/>
    <w:rsid w:val="00A917F2"/>
    <w:rsid w:val="00A93BAF"/>
    <w:rsid w:val="00AA15E1"/>
    <w:rsid w:val="00AA1AD3"/>
    <w:rsid w:val="00AA25B4"/>
    <w:rsid w:val="00AA3734"/>
    <w:rsid w:val="00AA6B37"/>
    <w:rsid w:val="00AB0E69"/>
    <w:rsid w:val="00AB6F85"/>
    <w:rsid w:val="00AC3367"/>
    <w:rsid w:val="00AC4A85"/>
    <w:rsid w:val="00AD3191"/>
    <w:rsid w:val="00AD401D"/>
    <w:rsid w:val="00AF2AA6"/>
    <w:rsid w:val="00AF3006"/>
    <w:rsid w:val="00B02AEB"/>
    <w:rsid w:val="00B05313"/>
    <w:rsid w:val="00B070E9"/>
    <w:rsid w:val="00B207BC"/>
    <w:rsid w:val="00B21641"/>
    <w:rsid w:val="00B228A0"/>
    <w:rsid w:val="00B416D2"/>
    <w:rsid w:val="00B43CE0"/>
    <w:rsid w:val="00B47B77"/>
    <w:rsid w:val="00B542E9"/>
    <w:rsid w:val="00B61D31"/>
    <w:rsid w:val="00B62F66"/>
    <w:rsid w:val="00B63CBC"/>
    <w:rsid w:val="00B6637E"/>
    <w:rsid w:val="00B76695"/>
    <w:rsid w:val="00B80809"/>
    <w:rsid w:val="00B86C20"/>
    <w:rsid w:val="00B90A0E"/>
    <w:rsid w:val="00BA6038"/>
    <w:rsid w:val="00BA7EE9"/>
    <w:rsid w:val="00BB08F1"/>
    <w:rsid w:val="00BB361A"/>
    <w:rsid w:val="00BB5E79"/>
    <w:rsid w:val="00BB7ED5"/>
    <w:rsid w:val="00BC738A"/>
    <w:rsid w:val="00BD04F9"/>
    <w:rsid w:val="00BD2FB8"/>
    <w:rsid w:val="00BD7B1F"/>
    <w:rsid w:val="00BD7EE8"/>
    <w:rsid w:val="00BE0069"/>
    <w:rsid w:val="00BE3184"/>
    <w:rsid w:val="00BF1CB3"/>
    <w:rsid w:val="00C014D2"/>
    <w:rsid w:val="00C016B2"/>
    <w:rsid w:val="00C04BC2"/>
    <w:rsid w:val="00C058C4"/>
    <w:rsid w:val="00C06A24"/>
    <w:rsid w:val="00C13565"/>
    <w:rsid w:val="00C217E3"/>
    <w:rsid w:val="00C27999"/>
    <w:rsid w:val="00C469F1"/>
    <w:rsid w:val="00C54024"/>
    <w:rsid w:val="00C62294"/>
    <w:rsid w:val="00C8596B"/>
    <w:rsid w:val="00C95DCF"/>
    <w:rsid w:val="00C962FB"/>
    <w:rsid w:val="00CA381B"/>
    <w:rsid w:val="00CB11F5"/>
    <w:rsid w:val="00CB4633"/>
    <w:rsid w:val="00CC29B5"/>
    <w:rsid w:val="00CC4323"/>
    <w:rsid w:val="00CC5829"/>
    <w:rsid w:val="00CC6E43"/>
    <w:rsid w:val="00CD2DF1"/>
    <w:rsid w:val="00CE3D64"/>
    <w:rsid w:val="00CF5D52"/>
    <w:rsid w:val="00D00049"/>
    <w:rsid w:val="00D125E3"/>
    <w:rsid w:val="00D21902"/>
    <w:rsid w:val="00D24F96"/>
    <w:rsid w:val="00D2583A"/>
    <w:rsid w:val="00D31002"/>
    <w:rsid w:val="00D37510"/>
    <w:rsid w:val="00D40E7E"/>
    <w:rsid w:val="00D42D50"/>
    <w:rsid w:val="00D44D92"/>
    <w:rsid w:val="00D50D4A"/>
    <w:rsid w:val="00D66158"/>
    <w:rsid w:val="00D7190A"/>
    <w:rsid w:val="00D7289C"/>
    <w:rsid w:val="00D7492F"/>
    <w:rsid w:val="00D85671"/>
    <w:rsid w:val="00D866A6"/>
    <w:rsid w:val="00D86960"/>
    <w:rsid w:val="00D95D09"/>
    <w:rsid w:val="00D969B6"/>
    <w:rsid w:val="00D96B50"/>
    <w:rsid w:val="00D97D23"/>
    <w:rsid w:val="00DA0B40"/>
    <w:rsid w:val="00DB55C5"/>
    <w:rsid w:val="00DB5E97"/>
    <w:rsid w:val="00DB670E"/>
    <w:rsid w:val="00DC36B9"/>
    <w:rsid w:val="00DD2F3B"/>
    <w:rsid w:val="00DD4239"/>
    <w:rsid w:val="00DD6895"/>
    <w:rsid w:val="00DE0894"/>
    <w:rsid w:val="00DE09D4"/>
    <w:rsid w:val="00DE2293"/>
    <w:rsid w:val="00DE2A0B"/>
    <w:rsid w:val="00DF7E6D"/>
    <w:rsid w:val="00E0638F"/>
    <w:rsid w:val="00E116E3"/>
    <w:rsid w:val="00E23135"/>
    <w:rsid w:val="00E2678D"/>
    <w:rsid w:val="00E279AD"/>
    <w:rsid w:val="00E33CD2"/>
    <w:rsid w:val="00E361B1"/>
    <w:rsid w:val="00E36352"/>
    <w:rsid w:val="00E3762E"/>
    <w:rsid w:val="00E40DA0"/>
    <w:rsid w:val="00E42C49"/>
    <w:rsid w:val="00E42ED3"/>
    <w:rsid w:val="00E434D9"/>
    <w:rsid w:val="00E4394E"/>
    <w:rsid w:val="00E44354"/>
    <w:rsid w:val="00E71EF0"/>
    <w:rsid w:val="00E82FA1"/>
    <w:rsid w:val="00E95085"/>
    <w:rsid w:val="00EA26F2"/>
    <w:rsid w:val="00EA549C"/>
    <w:rsid w:val="00EA728D"/>
    <w:rsid w:val="00EB2D27"/>
    <w:rsid w:val="00EB70B6"/>
    <w:rsid w:val="00EB770E"/>
    <w:rsid w:val="00EC4C5E"/>
    <w:rsid w:val="00EC5F36"/>
    <w:rsid w:val="00ED6A3D"/>
    <w:rsid w:val="00EE28E6"/>
    <w:rsid w:val="00EE5DEB"/>
    <w:rsid w:val="00EF3179"/>
    <w:rsid w:val="00EF5DAA"/>
    <w:rsid w:val="00F0459F"/>
    <w:rsid w:val="00F161DC"/>
    <w:rsid w:val="00F2205E"/>
    <w:rsid w:val="00F30349"/>
    <w:rsid w:val="00F3278B"/>
    <w:rsid w:val="00F33949"/>
    <w:rsid w:val="00F44693"/>
    <w:rsid w:val="00F46991"/>
    <w:rsid w:val="00F47A23"/>
    <w:rsid w:val="00F510F9"/>
    <w:rsid w:val="00F5538A"/>
    <w:rsid w:val="00F63B05"/>
    <w:rsid w:val="00F657C1"/>
    <w:rsid w:val="00F65B85"/>
    <w:rsid w:val="00F679D4"/>
    <w:rsid w:val="00F83CA0"/>
    <w:rsid w:val="00F8489A"/>
    <w:rsid w:val="00F93D92"/>
    <w:rsid w:val="00F947EC"/>
    <w:rsid w:val="00FA1732"/>
    <w:rsid w:val="00FA1FA8"/>
    <w:rsid w:val="00FA2F9A"/>
    <w:rsid w:val="00FA4F93"/>
    <w:rsid w:val="00FA5E82"/>
    <w:rsid w:val="00FB7A7D"/>
    <w:rsid w:val="00FC212E"/>
    <w:rsid w:val="00FD7D88"/>
    <w:rsid w:val="00FE2334"/>
    <w:rsid w:val="00FE5510"/>
    <w:rsid w:val="00FE76C0"/>
    <w:rsid w:val="00FF000E"/>
    <w:rsid w:val="00FF376E"/>
    <w:rsid w:val="00FF407C"/>
    <w:rsid w:val="00FF44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61A"/>
  </w:style>
  <w:style w:type="paragraph" w:styleId="Balk1">
    <w:name w:val="heading 1"/>
    <w:basedOn w:val="Normal"/>
    <w:next w:val="Normal"/>
    <w:qFormat/>
    <w:rsid w:val="00BB361A"/>
    <w:pPr>
      <w:keepNext/>
      <w:jc w:val="both"/>
      <w:outlineLvl w:val="0"/>
    </w:pPr>
    <w:rPr>
      <w:b/>
      <w:sz w:val="24"/>
    </w:rPr>
  </w:style>
  <w:style w:type="paragraph" w:styleId="Balk2">
    <w:name w:val="heading 2"/>
    <w:basedOn w:val="Normal"/>
    <w:next w:val="Normal"/>
    <w:qFormat/>
    <w:rsid w:val="00BB361A"/>
    <w:pPr>
      <w:keepNext/>
      <w:outlineLvl w:val="1"/>
    </w:pPr>
    <w:rPr>
      <w:b/>
      <w:sz w:val="24"/>
      <w:lang w:eastAsia="en-US"/>
    </w:rPr>
  </w:style>
  <w:style w:type="paragraph" w:styleId="Balk3">
    <w:name w:val="heading 3"/>
    <w:basedOn w:val="Normal"/>
    <w:next w:val="Normal"/>
    <w:qFormat/>
    <w:rsid w:val="00BB361A"/>
    <w:pPr>
      <w:keepNext/>
      <w:jc w:val="center"/>
      <w:outlineLvl w:val="2"/>
    </w:pPr>
    <w:rPr>
      <w:b/>
      <w:sz w:val="24"/>
      <w:lang w:val="en-US" w:eastAsia="en-US"/>
    </w:rPr>
  </w:style>
  <w:style w:type="paragraph" w:styleId="Balk4">
    <w:name w:val="heading 4"/>
    <w:basedOn w:val="Normal"/>
    <w:next w:val="Normal"/>
    <w:qFormat/>
    <w:rsid w:val="00BB361A"/>
    <w:pPr>
      <w:keepNext/>
      <w:outlineLvl w:val="3"/>
    </w:pPr>
    <w:rPr>
      <w:sz w:val="24"/>
    </w:rPr>
  </w:style>
  <w:style w:type="paragraph" w:styleId="Balk5">
    <w:name w:val="heading 5"/>
    <w:basedOn w:val="Normal"/>
    <w:next w:val="Normal"/>
    <w:qFormat/>
    <w:rsid w:val="00BB361A"/>
    <w:pPr>
      <w:keepNext/>
      <w:outlineLvl w:val="4"/>
    </w:pPr>
    <w:rPr>
      <w:b/>
      <w:bCs/>
    </w:rPr>
  </w:style>
  <w:style w:type="paragraph" w:styleId="Balk6">
    <w:name w:val="heading 6"/>
    <w:basedOn w:val="Normal"/>
    <w:next w:val="Normal"/>
    <w:qFormat/>
    <w:rsid w:val="00BB361A"/>
    <w:pPr>
      <w:keepNext/>
      <w:jc w:val="both"/>
      <w:outlineLvl w:val="5"/>
    </w:pPr>
    <w:rPr>
      <w:b/>
      <w:bCs/>
      <w:sz w:val="22"/>
    </w:rPr>
  </w:style>
  <w:style w:type="paragraph" w:styleId="Balk7">
    <w:name w:val="heading 7"/>
    <w:basedOn w:val="Normal"/>
    <w:next w:val="Normal"/>
    <w:qFormat/>
    <w:rsid w:val="00BB361A"/>
    <w:pPr>
      <w:keepNext/>
      <w:outlineLvl w:val="6"/>
    </w:pPr>
    <w:rPr>
      <w:b/>
      <w:bCs/>
      <w:sz w:val="22"/>
    </w:rPr>
  </w:style>
  <w:style w:type="paragraph" w:styleId="Balk8">
    <w:name w:val="heading 8"/>
    <w:basedOn w:val="Normal"/>
    <w:next w:val="Normal"/>
    <w:qFormat/>
    <w:rsid w:val="00BB361A"/>
    <w:pPr>
      <w:keepNext/>
      <w:framePr w:hSpace="141" w:wrap="around" w:vAnchor="text" w:hAnchor="margin" w:xAlign="center" w:y="120"/>
      <w:jc w:val="center"/>
      <w:outlineLvl w:val="7"/>
    </w:pPr>
    <w:rPr>
      <w:b/>
      <w:sz w:val="24"/>
    </w:rPr>
  </w:style>
  <w:style w:type="paragraph" w:styleId="Balk9">
    <w:name w:val="heading 9"/>
    <w:basedOn w:val="Normal"/>
    <w:next w:val="Normal"/>
    <w:qFormat/>
    <w:rsid w:val="00BB361A"/>
    <w:pPr>
      <w:keepNext/>
      <w:framePr w:hSpace="141" w:wrap="around" w:vAnchor="text" w:hAnchor="margin" w:xAlign="right" w:y="402"/>
      <w:suppressOverlap/>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BB361A"/>
    <w:pPr>
      <w:tabs>
        <w:tab w:val="center" w:pos="4536"/>
        <w:tab w:val="right" w:pos="9072"/>
      </w:tabs>
    </w:pPr>
  </w:style>
  <w:style w:type="paragraph" w:styleId="Altbilgi">
    <w:name w:val="footer"/>
    <w:basedOn w:val="Normal"/>
    <w:rsid w:val="00BB361A"/>
    <w:pPr>
      <w:tabs>
        <w:tab w:val="center" w:pos="4536"/>
        <w:tab w:val="right" w:pos="9072"/>
      </w:tabs>
    </w:pPr>
  </w:style>
  <w:style w:type="paragraph" w:styleId="ResimYazs">
    <w:name w:val="caption"/>
    <w:basedOn w:val="Normal"/>
    <w:next w:val="Normal"/>
    <w:qFormat/>
    <w:rsid w:val="00BB361A"/>
    <w:pPr>
      <w:framePr w:w="4223" w:h="1921" w:hRule="exact" w:hSpace="181" w:wrap="around" w:vAnchor="page" w:hAnchor="page" w:x="1260" w:y="2921"/>
      <w:pBdr>
        <w:top w:val="dashSmallGap" w:sz="4" w:space="1" w:color="auto"/>
        <w:bottom w:val="dashSmallGap" w:sz="4" w:space="1" w:color="auto"/>
      </w:pBdr>
      <w:ind w:firstLine="708"/>
    </w:pPr>
    <w:rPr>
      <w:b/>
      <w:sz w:val="24"/>
    </w:rPr>
  </w:style>
  <w:style w:type="paragraph" w:styleId="GvdeMetni">
    <w:name w:val="Body Text"/>
    <w:basedOn w:val="Normal"/>
    <w:rsid w:val="00BB361A"/>
    <w:rPr>
      <w:b/>
      <w:bCs/>
      <w:sz w:val="24"/>
    </w:rPr>
  </w:style>
  <w:style w:type="character" w:styleId="Kpr">
    <w:name w:val="Hyperlink"/>
    <w:rsid w:val="00BB361A"/>
    <w:rPr>
      <w:rFonts w:ascii="Geneva" w:hAnsi="Geneva" w:hint="default"/>
      <w:strike w:val="0"/>
      <w:dstrike w:val="0"/>
      <w:color w:val="000080"/>
      <w:sz w:val="18"/>
      <w:szCs w:val="18"/>
      <w:u w:val="none"/>
      <w:effect w:val="none"/>
    </w:rPr>
  </w:style>
  <w:style w:type="table" w:styleId="TabloKlavuzu">
    <w:name w:val="Table Grid"/>
    <w:basedOn w:val="NormalTablo"/>
    <w:rsid w:val="00706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9F400D"/>
    <w:rPr>
      <w:rFonts w:ascii="Tahoma" w:hAnsi="Tahoma" w:cs="Tahoma"/>
      <w:sz w:val="16"/>
      <w:szCs w:val="16"/>
    </w:rPr>
  </w:style>
  <w:style w:type="paragraph" w:customStyle="1" w:styleId="antet1">
    <w:name w:val="antet1"/>
    <w:rsid w:val="00D66158"/>
    <w:pPr>
      <w:tabs>
        <w:tab w:val="left" w:pos="5374"/>
        <w:tab w:val="left" w:pos="11327"/>
        <w:tab w:val="left" w:pos="11837"/>
        <w:tab w:val="left" w:pos="12234"/>
        <w:tab w:val="left" w:pos="12688"/>
        <w:tab w:val="left" w:pos="13140"/>
      </w:tabs>
      <w:suppressAutoHyphens/>
    </w:pPr>
    <w:rPr>
      <w:rFonts w:ascii="Impact" w:hAnsi="Impact"/>
      <w:b/>
      <w:sz w:val="48"/>
      <w:lang w:val="en-US"/>
    </w:rPr>
  </w:style>
  <w:style w:type="paragraph" w:styleId="NormalWeb">
    <w:name w:val="Normal (Web)"/>
    <w:basedOn w:val="Normal"/>
    <w:rsid w:val="007A5BAA"/>
    <w:pPr>
      <w:spacing w:before="100" w:beforeAutospacing="1" w:after="100" w:afterAutospacing="1"/>
    </w:pPr>
    <w:rPr>
      <w:rFonts w:ascii="Verdana" w:hAnsi="Verdana"/>
      <w:color w:val="000000"/>
      <w:sz w:val="12"/>
      <w:szCs w:val="12"/>
    </w:rPr>
  </w:style>
  <w:style w:type="paragraph" w:styleId="KonuBal">
    <w:name w:val="Title"/>
    <w:basedOn w:val="Normal"/>
    <w:qFormat/>
    <w:rsid w:val="00F47A23"/>
    <w:pPr>
      <w:spacing w:before="120" w:after="120"/>
      <w:jc w:val="center"/>
    </w:pPr>
    <w:rPr>
      <w:rFonts w:ascii="Arial Narrow" w:hAnsi="Arial Narrow"/>
      <w:b/>
      <w:bCs/>
      <w:sz w:val="24"/>
      <w:szCs w:val="24"/>
    </w:rPr>
  </w:style>
  <w:style w:type="paragraph" w:styleId="HTMLncedenBiimlendirilmi">
    <w:name w:val="HTML Preformatted"/>
    <w:basedOn w:val="Normal"/>
    <w:link w:val="HTMLncedenBiimlendirilmiChar"/>
    <w:rsid w:val="00574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link w:val="HTMLncedenBiimlendirilmi"/>
    <w:rsid w:val="00574ED7"/>
    <w:rPr>
      <w:rFonts w:ascii="Courier New" w:hAnsi="Courier New" w:cs="Courier New"/>
      <w:lang w:val="tr-TR" w:eastAsia="tr-TR" w:bidi="ar-SA"/>
    </w:rPr>
  </w:style>
  <w:style w:type="character" w:styleId="Gl">
    <w:name w:val="Strong"/>
    <w:qFormat/>
    <w:rsid w:val="00653FFE"/>
    <w:rPr>
      <w:b/>
      <w:bCs/>
    </w:rPr>
  </w:style>
  <w:style w:type="character" w:styleId="SayfaNumaras">
    <w:name w:val="page number"/>
    <w:basedOn w:val="VarsaylanParagrafYazTipi"/>
    <w:rsid w:val="00AC3367"/>
  </w:style>
  <w:style w:type="paragraph" w:styleId="ListeParagraf">
    <w:name w:val="List Paragraph"/>
    <w:basedOn w:val="Normal"/>
    <w:uiPriority w:val="34"/>
    <w:qFormat/>
    <w:rsid w:val="00CE3D64"/>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o.org.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asin@mmo.org.tr" TargetMode="External"/><Relationship Id="rId4" Type="http://schemas.openxmlformats.org/officeDocument/2006/relationships/webSettings" Target="webSettings.xml"/><Relationship Id="rId9" Type="http://schemas.openxmlformats.org/officeDocument/2006/relationships/hyperlink" Target="mailto:mmo@mmo.org.t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yaz&#305;&#351;ma(yay&#305;n)1.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yazışma(yayın)1</Template>
  <TotalTime>53</TotalTime>
  <Pages>3</Pages>
  <Words>742</Words>
  <Characters>4236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MMO</Company>
  <LinksUpToDate>false</LinksUpToDate>
  <CharactersWithSpaces>4969</CharactersWithSpaces>
  <SharedDoc>false</SharedDoc>
  <HLinks>
    <vt:vector size="18" baseType="variant">
      <vt:variant>
        <vt:i4>6488093</vt:i4>
      </vt:variant>
      <vt:variant>
        <vt:i4>6</vt:i4>
      </vt:variant>
      <vt:variant>
        <vt:i4>0</vt:i4>
      </vt:variant>
      <vt:variant>
        <vt:i4>5</vt:i4>
      </vt:variant>
      <vt:variant>
        <vt:lpwstr>mailto:basin@mmo.org.tr</vt:lpwstr>
      </vt:variant>
      <vt:variant>
        <vt:lpwstr/>
      </vt:variant>
      <vt:variant>
        <vt:i4>1966200</vt:i4>
      </vt:variant>
      <vt:variant>
        <vt:i4>3</vt:i4>
      </vt:variant>
      <vt:variant>
        <vt:i4>0</vt:i4>
      </vt:variant>
      <vt:variant>
        <vt:i4>5</vt:i4>
      </vt:variant>
      <vt:variant>
        <vt:lpwstr>mailto:mmo@mmo.org.tr</vt:lpwstr>
      </vt:variant>
      <vt:variant>
        <vt:lpwstr/>
      </vt:variant>
      <vt:variant>
        <vt:i4>7995453</vt:i4>
      </vt:variant>
      <vt:variant>
        <vt:i4>0</vt:i4>
      </vt:variant>
      <vt:variant>
        <vt:i4>0</vt:i4>
      </vt:variant>
      <vt:variant>
        <vt:i4>5</vt:i4>
      </vt:variant>
      <vt:variant>
        <vt:lpwstr>http://www.mmo.org.tr/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 ankara şube</dc:creator>
  <cp:lastModifiedBy>IlhanPC</cp:lastModifiedBy>
  <cp:revision>3</cp:revision>
  <cp:lastPrinted>2011-09-15T13:58:00Z</cp:lastPrinted>
  <dcterms:created xsi:type="dcterms:W3CDTF">2022-04-01T13:52:00Z</dcterms:created>
  <dcterms:modified xsi:type="dcterms:W3CDTF">2022-04-01T16:09:00Z</dcterms:modified>
</cp:coreProperties>
</file>